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790C93C" w14:textId="77777777" w:rsidR="00AE52E3" w:rsidRPr="00AE52E3" w:rsidRDefault="00AE52E3" w:rsidP="00AE52E3">
      <w:pPr>
        <w:spacing w:before="100" w:beforeAutospacing="1" w:after="100" w:afterAutospacing="1"/>
        <w:rPr>
          <w:rFonts w:ascii="Times New Roman" w:eastAsia="Times New Roman" w:hAnsi="Times New Roman" w:cs="Times New Roman"/>
          <w:kern w:val="0"/>
          <w14:ligatures w14:val="none"/>
        </w:rPr>
      </w:pPr>
      <w:r w:rsidRPr="00AE52E3">
        <w:rPr>
          <w:rFonts w:ascii="Times New Roman" w:eastAsia="Times New Roman" w:hAnsi="Times New Roman" w:cs="Times New Roman"/>
          <w:b/>
          <w:bCs/>
          <w:kern w:val="0"/>
          <w:sz w:val="36"/>
          <w:szCs w:val="36"/>
          <w14:ligatures w14:val="none"/>
        </w:rPr>
        <w:t>Lecture Notes Summary </w:t>
      </w:r>
    </w:p>
    <w:p w14:paraId="2884AFD5" w14:textId="77777777" w:rsidR="00AE52E3" w:rsidRPr="00AE52E3" w:rsidRDefault="00AE52E3" w:rsidP="00AE52E3">
      <w:pPr>
        <w:spacing w:before="100" w:beforeAutospacing="1" w:after="100" w:afterAutospacing="1"/>
        <w:rPr>
          <w:rFonts w:ascii="Times New Roman" w:eastAsia="Times New Roman" w:hAnsi="Times New Roman" w:cs="Times New Roman"/>
          <w:kern w:val="0"/>
          <w14:ligatures w14:val="none"/>
        </w:rPr>
      </w:pPr>
      <w:r w:rsidRPr="00AE52E3">
        <w:rPr>
          <w:rFonts w:ascii="Times New Roman" w:eastAsia="Times New Roman" w:hAnsi="Times New Roman" w:cs="Times New Roman"/>
          <w:b/>
          <w:bCs/>
          <w:kern w:val="0"/>
          <w:sz w:val="36"/>
          <w:szCs w:val="36"/>
          <w14:ligatures w14:val="none"/>
        </w:rPr>
        <w:t> Lecture 1—From Algorithms to Foundation Models: What Contemporary AI is “Made of”</w:t>
      </w:r>
      <w:r w:rsidRPr="00AE52E3">
        <w:rPr>
          <w:rFonts w:ascii="Times New Roman" w:eastAsia="Times New Roman" w:hAnsi="Times New Roman" w:cs="Times New Roman"/>
          <w:kern w:val="0"/>
          <w14:ligatures w14:val="none"/>
        </w:rPr>
        <w:t> </w:t>
      </w:r>
    </w:p>
    <w:p w14:paraId="055A383A"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An effective framework for AI governance might start with an analytical shift away from normative judgments about whether specific technical capacities are "good" or "bad" as starting points.  Instead, the focus might be rationalized around a structural classification of the objects of regulation and also on the disaggregation of the technical stack to identify exactly what can and will be the object of regulation.</w:t>
      </w:r>
    </w:p>
    <w:p w14:paraId="712BC53C"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The following summary provides a neutral, analytical breakdown of the text, organized by its original headings, focusing on how the technology is categorized for regulatory oversight.</w:t>
      </w:r>
    </w:p>
    <w:p w14:paraId="373A8988" w14:textId="77777777" w:rsidR="00AE52E3" w:rsidRPr="00AE52E3" w:rsidRDefault="00AE52E3" w:rsidP="00AE52E3">
      <w:pPr>
        <w:spacing w:after="100" w:afterAutospacing="1"/>
        <w:outlineLvl w:val="1"/>
        <w:rPr>
          <w:rFonts w:ascii="Arial" w:eastAsia="Times New Roman" w:hAnsi="Arial" w:cs="Arial"/>
          <w:b/>
          <w:bCs/>
          <w:kern w:val="0"/>
          <w:sz w:val="36"/>
          <w:szCs w:val="36"/>
          <w14:ligatures w14:val="none"/>
        </w:rPr>
      </w:pPr>
      <w:r w:rsidRPr="00AE52E3">
        <w:rPr>
          <w:rFonts w:ascii="Arial" w:eastAsia="Times New Roman" w:hAnsi="Arial" w:cs="Arial"/>
          <w:b/>
          <w:bCs/>
          <w:kern w:val="0"/>
          <w:sz w:val="36"/>
          <w:szCs w:val="36"/>
          <w14:ligatures w14:val="none"/>
        </w:rPr>
        <w:t>Overview</w:t>
      </w:r>
    </w:p>
    <w:p w14:paraId="5BBAEE1C"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Artificial intelligence is not a singular, uniform object. It is a layered socio-technical stack comprising multiple distinct layers: data, models, optimization processes, hardware infrastructure, deployment interfaces, human labor, institutional incentives, and governance choices.</w:t>
      </w:r>
    </w:p>
    <w:p w14:paraId="2D4DA1DB"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For governance, treating AI as a single, abstract term is unworkable. A legal system cannot regulate AI effectively without specifying the exact object of regulation: is it data, code, a model, an interface, a platform, an institutional decision, a specific harm, or physical infrastructure?</w:t>
      </w:r>
    </w:p>
    <w:p w14:paraId="164727CD"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 xml:space="preserve">AI governance therefore begins with </w:t>
      </w:r>
      <w:r w:rsidRPr="00AE52E3">
        <w:rPr>
          <w:rFonts w:ascii="Arial" w:eastAsia="Times New Roman" w:hAnsi="Arial" w:cs="Arial"/>
          <w:b/>
          <w:bCs/>
          <w:kern w:val="0"/>
          <w14:ligatures w14:val="none"/>
        </w:rPr>
        <w:t>classification</w:t>
      </w:r>
      <w:r w:rsidRPr="00AE52E3">
        <w:rPr>
          <w:rFonts w:ascii="Arial" w:eastAsia="Times New Roman" w:hAnsi="Arial" w:cs="Arial"/>
          <w:kern w:val="0"/>
          <w14:ligatures w14:val="none"/>
        </w:rPr>
        <w:t>. Different geopolitical blocks construct the object of regulation based on distinct administrative, economic, and political strategies:</w:t>
      </w:r>
    </w:p>
    <w:p w14:paraId="42CEA3C3" w14:textId="77777777" w:rsidR="00AE52E3" w:rsidRPr="00AE52E3" w:rsidRDefault="00AE52E3" w:rsidP="00AE52E3">
      <w:pPr>
        <w:numPr>
          <w:ilvl w:val="0"/>
          <w:numId w:val="1"/>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The United States</w:t>
      </w:r>
      <w:r w:rsidRPr="00AE52E3">
        <w:rPr>
          <w:rFonts w:ascii="Arial" w:eastAsia="Times New Roman" w:hAnsi="Arial" w:cs="Arial"/>
          <w:kern w:val="0"/>
          <w14:ligatures w14:val="none"/>
        </w:rPr>
        <w:t xml:space="preserve"> constructs AI as an object of markets, innovation, standards, procurement, sectoral enforcement, and national competitiveness.</w:t>
      </w:r>
    </w:p>
    <w:p w14:paraId="0C6D43D7" w14:textId="77777777" w:rsidR="00AE52E3" w:rsidRPr="00AE52E3" w:rsidRDefault="00AE52E3" w:rsidP="00AE52E3">
      <w:pPr>
        <w:numPr>
          <w:ilvl w:val="0"/>
          <w:numId w:val="1"/>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The European Union</w:t>
      </w:r>
      <w:r w:rsidRPr="00AE52E3">
        <w:rPr>
          <w:rFonts w:ascii="Arial" w:eastAsia="Times New Roman" w:hAnsi="Arial" w:cs="Arial"/>
          <w:kern w:val="0"/>
          <w14:ligatures w14:val="none"/>
        </w:rPr>
        <w:t xml:space="preserve"> constructs AI as an object of risk, product safety, fundamental rights, and supervisory administration.</w:t>
      </w:r>
    </w:p>
    <w:p w14:paraId="56D033F8" w14:textId="77777777" w:rsidR="00AE52E3" w:rsidRPr="00AE52E3" w:rsidRDefault="00AE52E3" w:rsidP="00AE52E3">
      <w:pPr>
        <w:numPr>
          <w:ilvl w:val="0"/>
          <w:numId w:val="1"/>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The People’s Republic of China</w:t>
      </w:r>
      <w:r w:rsidRPr="00AE52E3">
        <w:rPr>
          <w:rFonts w:ascii="Arial" w:eastAsia="Times New Roman" w:hAnsi="Arial" w:cs="Arial"/>
          <w:kern w:val="0"/>
          <w14:ligatures w14:val="none"/>
        </w:rPr>
        <w:t xml:space="preserve"> constructs AI as an object of socialist modernization, platform governance, data security, public opinion management, and national development.</w:t>
      </w:r>
    </w:p>
    <w:p w14:paraId="0C669906" w14:textId="77777777" w:rsidR="00AE52E3" w:rsidRPr="00AE52E3" w:rsidRDefault="00AE52E3" w:rsidP="00AE52E3">
      <w:pPr>
        <w:spacing w:after="100" w:afterAutospacing="1"/>
        <w:outlineLvl w:val="1"/>
        <w:rPr>
          <w:rFonts w:ascii="Arial" w:eastAsia="Times New Roman" w:hAnsi="Arial" w:cs="Arial"/>
          <w:b/>
          <w:bCs/>
          <w:kern w:val="0"/>
          <w:sz w:val="36"/>
          <w:szCs w:val="36"/>
          <w14:ligatures w14:val="none"/>
        </w:rPr>
      </w:pPr>
      <w:r w:rsidRPr="00AE52E3">
        <w:rPr>
          <w:rFonts w:ascii="Arial" w:eastAsia="Times New Roman" w:hAnsi="Arial" w:cs="Arial"/>
          <w:b/>
          <w:bCs/>
          <w:kern w:val="0"/>
          <w:sz w:val="36"/>
          <w:szCs w:val="36"/>
          <w14:ligatures w14:val="none"/>
        </w:rPr>
        <w:t>Position in the Series</w:t>
      </w:r>
    </w:p>
    <w:p w14:paraId="57092C2F"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 xml:space="preserve">This lecture establishes the technical and conceptual map necessary to analyze subsequent regulatory approaches. To understand a "market-led" approach (US), a "risk-based" approach (EU), or a "platform-control" approach (China), one must first </w:t>
      </w:r>
      <w:r w:rsidRPr="00AE52E3">
        <w:rPr>
          <w:rFonts w:ascii="Arial" w:eastAsia="Times New Roman" w:hAnsi="Arial" w:cs="Arial"/>
          <w:kern w:val="0"/>
          <w14:ligatures w14:val="none"/>
        </w:rPr>
        <w:lastRenderedPageBreak/>
        <w:t>map where legal duties, liabilities, and oversight mechanisms attach within the underlying technical object. The comparative analysis of AI governance is a contest over how AI is constructed as an object of law, economics, politics, and administration.</w:t>
      </w:r>
    </w:p>
    <w:p w14:paraId="15F0D8F9" w14:textId="77777777" w:rsidR="00AE52E3" w:rsidRPr="00AE52E3" w:rsidRDefault="00AE52E3" w:rsidP="00AE52E3">
      <w:pPr>
        <w:spacing w:after="100" w:afterAutospacing="1"/>
        <w:outlineLvl w:val="1"/>
        <w:rPr>
          <w:rFonts w:ascii="Arial" w:eastAsia="Times New Roman" w:hAnsi="Arial" w:cs="Arial"/>
          <w:b/>
          <w:bCs/>
          <w:kern w:val="0"/>
          <w:sz w:val="36"/>
          <w:szCs w:val="36"/>
          <w14:ligatures w14:val="none"/>
        </w:rPr>
      </w:pPr>
      <w:r w:rsidRPr="00AE52E3">
        <w:rPr>
          <w:rFonts w:ascii="Arial" w:eastAsia="Times New Roman" w:hAnsi="Arial" w:cs="Arial"/>
          <w:b/>
          <w:bCs/>
          <w:kern w:val="0"/>
          <w:sz w:val="36"/>
          <w:szCs w:val="36"/>
          <w14:ligatures w14:val="none"/>
        </w:rPr>
        <w:t>Opening Problem: AI Is a Bad Regulatory Object</w:t>
      </w:r>
    </w:p>
    <w:p w14:paraId="53C09063"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The term "AI" is historically unstable and strategically defined by different actors depending on their institutional goals:</w:t>
      </w:r>
    </w:p>
    <w:p w14:paraId="1D700E31" w14:textId="77777777" w:rsidR="00AE52E3" w:rsidRPr="00AE52E3" w:rsidRDefault="00AE52E3" w:rsidP="00AE52E3">
      <w:pPr>
        <w:numPr>
          <w:ilvl w:val="0"/>
          <w:numId w:val="2"/>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Commercial Developers</w:t>
      </w:r>
      <w:r w:rsidRPr="00AE52E3">
        <w:rPr>
          <w:rFonts w:ascii="Arial" w:eastAsia="Times New Roman" w:hAnsi="Arial" w:cs="Arial"/>
          <w:kern w:val="0"/>
          <w14:ligatures w14:val="none"/>
        </w:rPr>
        <w:t xml:space="preserve"> apply broad definitions for marketing (to signal value and innovation) but shift to narrow definitions when regulation appears (to reduce legal obligations).</w:t>
      </w:r>
    </w:p>
    <w:p w14:paraId="6EDD3AAD" w14:textId="77777777" w:rsidR="00AE52E3" w:rsidRPr="00AE52E3" w:rsidRDefault="00AE52E3" w:rsidP="00AE52E3">
      <w:pPr>
        <w:numPr>
          <w:ilvl w:val="0"/>
          <w:numId w:val="2"/>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Regulators</w:t>
      </w:r>
      <w:r w:rsidRPr="00AE52E3">
        <w:rPr>
          <w:rFonts w:ascii="Arial" w:eastAsia="Times New Roman" w:hAnsi="Arial" w:cs="Arial"/>
          <w:kern w:val="0"/>
          <w14:ligatures w14:val="none"/>
        </w:rPr>
        <w:t xml:space="preserve"> favor broad definitions to ensure risky automated systems do not escape oversight.</w:t>
      </w:r>
    </w:p>
    <w:p w14:paraId="3820E6A0" w14:textId="77777777" w:rsidR="00AE52E3" w:rsidRPr="00AE52E3" w:rsidRDefault="00AE52E3" w:rsidP="00AE52E3">
      <w:pPr>
        <w:numPr>
          <w:ilvl w:val="0"/>
          <w:numId w:val="2"/>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States</w:t>
      </w:r>
      <w:r w:rsidRPr="00AE52E3">
        <w:rPr>
          <w:rFonts w:ascii="Arial" w:eastAsia="Times New Roman" w:hAnsi="Arial" w:cs="Arial"/>
          <w:kern w:val="0"/>
          <w14:ligatures w14:val="none"/>
        </w:rPr>
        <w:t xml:space="preserve"> define AI strategically to justify industrial policy, infrastructure investments, or national security export controls.</w:t>
      </w:r>
    </w:p>
    <w:p w14:paraId="613C51A1" w14:textId="77777777" w:rsidR="00AE52E3" w:rsidRPr="00AE52E3" w:rsidRDefault="00AE52E3" w:rsidP="00AE52E3">
      <w:pPr>
        <w:numPr>
          <w:ilvl w:val="0"/>
          <w:numId w:val="2"/>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Civil Rights Advocates</w:t>
      </w:r>
      <w:r w:rsidRPr="00AE52E3">
        <w:rPr>
          <w:rFonts w:ascii="Arial" w:eastAsia="Times New Roman" w:hAnsi="Arial" w:cs="Arial"/>
          <w:kern w:val="0"/>
          <w14:ligatures w14:val="none"/>
        </w:rPr>
        <w:t xml:space="preserve"> focus the definition tightly on automated decision-making systems where discrimination or exclusion manifests.</w:t>
      </w:r>
    </w:p>
    <w:p w14:paraId="62146E98" w14:textId="77777777" w:rsidR="00AE52E3" w:rsidRPr="00AE52E3" w:rsidRDefault="00AE52E3" w:rsidP="00AE52E3">
      <w:pPr>
        <w:spacing w:after="100" w:afterAutospacing="1"/>
        <w:ind w:left="720"/>
        <w:rPr>
          <w:rFonts w:ascii="Arial" w:eastAsia="Times New Roman" w:hAnsi="Arial" w:cs="Arial"/>
          <w:kern w:val="0"/>
          <w14:ligatures w14:val="none"/>
        </w:rPr>
      </w:pPr>
      <w:r w:rsidRPr="00AE52E3">
        <w:rPr>
          <w:rFonts w:ascii="Arial" w:eastAsia="Times New Roman" w:hAnsi="Arial" w:cs="Arial"/>
          <w:kern w:val="0"/>
          <w14:ligatures w14:val="none"/>
        </w:rPr>
        <w:t> </w:t>
      </w:r>
    </w:p>
    <w:p w14:paraId="44E3A6A5"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Because law depends on precise classification, a legal duty must attach to a stable, identifiable entity: an actor, an action, a product, a process, or an infrastructure layer. The term AI is useful for public discourse but too imprecise for legal text, much less for policy discussion. Effective governance requires disaggregating the term in two ways. The first is horizontal--AI as a cover for a number of functionally differentiated systems. The second is vertical--AI as a cover for the elements, the components of each AI system. </w:t>
      </w:r>
    </w:p>
    <w:p w14:paraId="6C7CD138" w14:textId="77777777" w:rsidR="00AE52E3" w:rsidRPr="00AE52E3" w:rsidRDefault="00AE52E3" w:rsidP="00AE52E3">
      <w:pPr>
        <w:spacing w:after="100" w:afterAutospacing="1"/>
        <w:outlineLvl w:val="1"/>
        <w:rPr>
          <w:rFonts w:ascii="Arial" w:eastAsia="Times New Roman" w:hAnsi="Arial" w:cs="Arial"/>
          <w:b/>
          <w:bCs/>
          <w:kern w:val="0"/>
          <w:sz w:val="36"/>
          <w:szCs w:val="36"/>
          <w14:ligatures w14:val="none"/>
        </w:rPr>
      </w:pPr>
      <w:r w:rsidRPr="00AE52E3">
        <w:rPr>
          <w:rFonts w:ascii="Arial" w:eastAsia="Times New Roman" w:hAnsi="Arial" w:cs="Arial"/>
          <w:b/>
          <w:bCs/>
          <w:kern w:val="0"/>
          <w:sz w:val="36"/>
          <w:szCs w:val="36"/>
          <w14:ligatures w14:val="none"/>
        </w:rPr>
        <w:t>Initial Distinctions: AI, Machine Learning, Deep Learning, Generative AI, and AI Governance</w:t>
      </w:r>
    </w:p>
    <w:p w14:paraId="0B7343EA"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To regulate the technology, its structural layers must be categorized as a series of nested technical hierarchies:</w:t>
      </w:r>
    </w:p>
    <w:p w14:paraId="60011124" w14:textId="77777777" w:rsidR="00AE52E3" w:rsidRPr="00AE52E3" w:rsidRDefault="00AE52E3" w:rsidP="00AE52E3">
      <w:pPr>
        <w:numPr>
          <w:ilvl w:val="0"/>
          <w:numId w:val="3"/>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Artificial Intelligence (AI):</w:t>
      </w:r>
      <w:r w:rsidRPr="00AE52E3">
        <w:rPr>
          <w:rFonts w:ascii="Arial" w:eastAsia="Times New Roman" w:hAnsi="Arial" w:cs="Arial"/>
          <w:kern w:val="0"/>
          <w14:ligatures w14:val="none"/>
        </w:rPr>
        <w:t xml:space="preserve"> The broad field concerned with building systems that perform tasks associated with human intelligence (perception, classification, prediction, planning, language use, decision support, recommendation, or autonomous action).</w:t>
      </w:r>
    </w:p>
    <w:p w14:paraId="23FB8791" w14:textId="77777777" w:rsidR="00AE52E3" w:rsidRPr="00AE52E3" w:rsidRDefault="00AE52E3" w:rsidP="00AE52E3">
      <w:pPr>
        <w:numPr>
          <w:ilvl w:val="0"/>
          <w:numId w:val="3"/>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Machine Learning (ML):</w:t>
      </w:r>
      <w:r w:rsidRPr="00AE52E3">
        <w:rPr>
          <w:rFonts w:ascii="Arial" w:eastAsia="Times New Roman" w:hAnsi="Arial" w:cs="Arial"/>
          <w:kern w:val="0"/>
          <w14:ligatures w14:val="none"/>
        </w:rPr>
        <w:t xml:space="preserve"> A narrower technical approach within AI where systems improve performance by learning patterns from data rather than being explicitly programmed for every rule. The object of control shifts from hardcoded instructions to model architectures, training procedures, and learning objectives.</w:t>
      </w:r>
    </w:p>
    <w:p w14:paraId="038C9853" w14:textId="77777777" w:rsidR="00AE52E3" w:rsidRPr="00AE52E3" w:rsidRDefault="00AE52E3" w:rsidP="00AE52E3">
      <w:pPr>
        <w:numPr>
          <w:ilvl w:val="0"/>
          <w:numId w:val="3"/>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lastRenderedPageBreak/>
        <w:t>Deep Learning:</w:t>
      </w:r>
      <w:r w:rsidRPr="00AE52E3">
        <w:rPr>
          <w:rFonts w:ascii="Arial" w:eastAsia="Times New Roman" w:hAnsi="Arial" w:cs="Arial"/>
          <w:kern w:val="0"/>
          <w14:ligatures w14:val="none"/>
        </w:rPr>
        <w:t xml:space="preserve"> A subset of machine learning utilizing multi-layered artificial neural networks to learn internal representations of data. It shifts capabilities away from human-designed features but increases technical opacity.</w:t>
      </w:r>
    </w:p>
    <w:p w14:paraId="43BC690A" w14:textId="77777777" w:rsidR="00AE52E3" w:rsidRPr="00AE52E3" w:rsidRDefault="00AE52E3" w:rsidP="00AE52E3">
      <w:pPr>
        <w:numPr>
          <w:ilvl w:val="0"/>
          <w:numId w:val="3"/>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Generative AI:</w:t>
      </w:r>
      <w:r w:rsidRPr="00AE52E3">
        <w:rPr>
          <w:rFonts w:ascii="Arial" w:eastAsia="Times New Roman" w:hAnsi="Arial" w:cs="Arial"/>
          <w:kern w:val="0"/>
          <w14:ligatures w14:val="none"/>
        </w:rPr>
        <w:t xml:space="preserve"> A specific family of deep learning systems that create new outputs (text, code, images, audio, video, synthetic data) rather than merely classifying or scoring existing data.</w:t>
      </w:r>
    </w:p>
    <w:p w14:paraId="2E168A03" w14:textId="77777777" w:rsidR="00AE52E3" w:rsidRPr="00AE52E3" w:rsidRDefault="00AE52E3" w:rsidP="00AE52E3">
      <w:pPr>
        <w:numPr>
          <w:ilvl w:val="0"/>
          <w:numId w:val="3"/>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AI Governance:</w:t>
      </w:r>
      <w:r w:rsidRPr="00AE52E3">
        <w:rPr>
          <w:rFonts w:ascii="Arial" w:eastAsia="Times New Roman" w:hAnsi="Arial" w:cs="Arial"/>
          <w:kern w:val="0"/>
          <w14:ligatures w14:val="none"/>
        </w:rPr>
        <w:t xml:space="preserve"> The complete set of rules, institutions, standards, norms, technical controls, and organizational practices used to shape the development, deployment, and effects of these systems. It encompasses formal law, technical standards, procurement audits, model evaluations, liability regimes, and physical infrastructure controls over semiconductors and cloud access.</w:t>
      </w:r>
    </w:p>
    <w:p w14:paraId="31B965B7" w14:textId="77777777" w:rsidR="00AE52E3" w:rsidRPr="00AE52E3" w:rsidRDefault="00AE52E3" w:rsidP="00AE52E3">
      <w:pPr>
        <w:spacing w:after="100" w:afterAutospacing="1"/>
        <w:outlineLvl w:val="2"/>
        <w:rPr>
          <w:rFonts w:ascii="Arial" w:eastAsia="Times New Roman" w:hAnsi="Arial" w:cs="Arial"/>
          <w:b/>
          <w:bCs/>
          <w:kern w:val="0"/>
          <w:sz w:val="27"/>
          <w:szCs w:val="27"/>
          <w14:ligatures w14:val="none"/>
        </w:rPr>
      </w:pPr>
      <w:r w:rsidRPr="00AE52E3">
        <w:rPr>
          <w:rFonts w:ascii="Arial" w:eastAsia="Times New Roman" w:hAnsi="Arial" w:cs="Arial"/>
          <w:b/>
          <w:bCs/>
          <w:kern w:val="0"/>
          <w:sz w:val="27"/>
          <w:szCs w:val="27"/>
          <w14:ligatures w14:val="none"/>
        </w:rPr>
        <w:t>Algorithm, Model, System, and Product</w:t>
      </w:r>
    </w:p>
    <w:p w14:paraId="307FE20B"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A critical disaggregation for targeting legal liability is the distinction between an algorithm, a model, a system, and a product:</w:t>
      </w:r>
    </w:p>
    <w:p w14:paraId="350F7B31" w14:textId="77777777" w:rsidR="00AE52E3" w:rsidRPr="00AE52E3" w:rsidRDefault="00AE52E3" w:rsidP="00AE52E3">
      <w:pPr>
        <w:numPr>
          <w:ilvl w:val="0"/>
          <w:numId w:val="4"/>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Algorithm:</w:t>
      </w:r>
      <w:r w:rsidRPr="00AE52E3">
        <w:rPr>
          <w:rFonts w:ascii="Arial" w:eastAsia="Times New Roman" w:hAnsi="Arial" w:cs="Arial"/>
          <w:kern w:val="0"/>
          <w14:ligatures w14:val="none"/>
        </w:rPr>
        <w:t xml:space="preserve"> A step-by-step computational procedure for solving a problem or producing an output (e.g., a sorting procedure or a formula used to update weights during training). Algorithms do not inherently learn or adapt.</w:t>
      </w:r>
    </w:p>
    <w:p w14:paraId="2DF5CD4F" w14:textId="77777777" w:rsidR="00AE52E3" w:rsidRPr="00AE52E3" w:rsidRDefault="00AE52E3" w:rsidP="00AE52E3">
      <w:pPr>
        <w:numPr>
          <w:ilvl w:val="0"/>
          <w:numId w:val="4"/>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Model:</w:t>
      </w:r>
      <w:r w:rsidRPr="00AE52E3">
        <w:rPr>
          <w:rFonts w:ascii="Arial" w:eastAsia="Times New Roman" w:hAnsi="Arial" w:cs="Arial"/>
          <w:kern w:val="0"/>
          <w14:ligatures w14:val="none"/>
        </w:rPr>
        <w:t xml:space="preserve"> A learned representation of relationships in data containing internal numerical values (</w:t>
      </w:r>
      <w:r w:rsidRPr="00AE52E3">
        <w:rPr>
          <w:rFonts w:ascii="Arial" w:eastAsia="Times New Roman" w:hAnsi="Arial" w:cs="Arial"/>
          <w:b/>
          <w:bCs/>
          <w:kern w:val="0"/>
          <w14:ligatures w14:val="none"/>
        </w:rPr>
        <w:t>parameters</w:t>
      </w:r>
      <w:r w:rsidRPr="00AE52E3">
        <w:rPr>
          <w:rFonts w:ascii="Arial" w:eastAsia="Times New Roman" w:hAnsi="Arial" w:cs="Arial"/>
          <w:kern w:val="0"/>
          <w14:ligatures w14:val="none"/>
        </w:rPr>
        <w:t>) that encode statistical patterns discovered during training. Its behavior emerges from the interaction of data, architecture, and optimization objectives.</w:t>
      </w:r>
    </w:p>
    <w:p w14:paraId="49D2269E" w14:textId="77777777" w:rsidR="00AE52E3" w:rsidRPr="00AE52E3" w:rsidRDefault="00AE52E3" w:rsidP="00AE52E3">
      <w:pPr>
        <w:numPr>
          <w:ilvl w:val="0"/>
          <w:numId w:val="4"/>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AI System:</w:t>
      </w:r>
      <w:r w:rsidRPr="00AE52E3">
        <w:rPr>
          <w:rFonts w:ascii="Arial" w:eastAsia="Times New Roman" w:hAnsi="Arial" w:cs="Arial"/>
          <w:kern w:val="0"/>
          <w14:ligatures w14:val="none"/>
        </w:rPr>
        <w:t xml:space="preserve"> The larger technical arrangement that includes the model alongside its data pipelines, input/output interfaces, preprocessing tools, monitoring systems, deployment infrastructure, and human operational protocols. Decisions are executed at the system layer, not by the model in isolation.</w:t>
      </w:r>
    </w:p>
    <w:p w14:paraId="1E2049DA" w14:textId="77777777" w:rsidR="00AE52E3" w:rsidRPr="00AE52E3" w:rsidRDefault="00AE52E3" w:rsidP="00AE52E3">
      <w:pPr>
        <w:numPr>
          <w:ilvl w:val="0"/>
          <w:numId w:val="4"/>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AI Product or Service:</w:t>
      </w:r>
      <w:r w:rsidRPr="00AE52E3">
        <w:rPr>
          <w:rFonts w:ascii="Arial" w:eastAsia="Times New Roman" w:hAnsi="Arial" w:cs="Arial"/>
          <w:kern w:val="0"/>
          <w14:ligatures w14:val="none"/>
        </w:rPr>
        <w:t xml:space="preserve"> The commercialized or institutionally deployed version of the system encountered by the end-user (e.g., a specific chatbot interface, a recommendation feed, or an automated hiring-screening system). It often contains multiple models, external databases, retrieval mechanisms, and content filters.</w:t>
      </w:r>
    </w:p>
    <w:p w14:paraId="57BDEA7D"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Different laws target different layers of this breakdown:</w:t>
      </w:r>
    </w:p>
    <w:p w14:paraId="2BD9A364" w14:textId="56EB7092" w:rsidR="00AE52E3" w:rsidRPr="00AE52E3" w:rsidRDefault="00AE52E3" w:rsidP="00AE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kern w:val="0"/>
          <w:sz w:val="20"/>
          <w:szCs w:val="20"/>
          <w14:ligatures w14:val="none"/>
        </w:rPr>
      </w:pPr>
      <w:r w:rsidRPr="00AE52E3">
        <w:rPr>
          <w:rFonts w:ascii="Arial" w:eastAsia="Times New Roman" w:hAnsi="Arial" w:cs="Arial"/>
          <w:noProof/>
          <w:color w:val="0000FF"/>
          <w:kern w:val="0"/>
          <w:sz w:val="20"/>
          <w:szCs w:val="20"/>
          <w14:ligatures w14:val="none"/>
        </w:rPr>
        <w:lastRenderedPageBreak/>
        <w:drawing>
          <wp:inline distT="0" distB="0" distL="0" distR="0" wp14:anchorId="0B96142D" wp14:editId="5F518F18">
            <wp:extent cx="5943600" cy="2098675"/>
            <wp:effectExtent l="0" t="0" r="0" b="0"/>
            <wp:docPr id="1235137195"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098675"/>
                    </a:xfrm>
                    <a:prstGeom prst="rect">
                      <a:avLst/>
                    </a:prstGeom>
                    <a:noFill/>
                    <a:ln>
                      <a:noFill/>
                    </a:ln>
                  </pic:spPr>
                </pic:pic>
              </a:graphicData>
            </a:graphic>
          </wp:inline>
        </w:drawing>
      </w:r>
    </w:p>
    <w:p w14:paraId="575DEEF8" w14:textId="77777777" w:rsidR="00AE52E3" w:rsidRPr="00AE52E3" w:rsidRDefault="00AE52E3" w:rsidP="00AE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szCs w:val="20"/>
          <w14:ligatures w14:val="none"/>
        </w:rPr>
      </w:pPr>
      <w:r w:rsidRPr="00AE52E3">
        <w:rPr>
          <w:rFonts w:ascii="Arial" w:eastAsia="Times New Roman" w:hAnsi="Arial" w:cs="Arial"/>
          <w:kern w:val="0"/>
          <w:sz w:val="20"/>
          <w:szCs w:val="20"/>
          <w14:ligatures w14:val="none"/>
        </w:rPr>
        <w:br/>
        <w:t> </w:t>
      </w:r>
    </w:p>
    <w:p w14:paraId="49A59069" w14:textId="77777777" w:rsidR="00AE52E3" w:rsidRPr="00AE52E3" w:rsidRDefault="00AE52E3" w:rsidP="00AE52E3">
      <w:pPr>
        <w:spacing w:after="100" w:afterAutospacing="1"/>
        <w:outlineLvl w:val="1"/>
        <w:rPr>
          <w:rFonts w:ascii="Arial" w:eastAsia="Times New Roman" w:hAnsi="Arial" w:cs="Arial"/>
          <w:b/>
          <w:bCs/>
          <w:kern w:val="0"/>
          <w:sz w:val="36"/>
          <w:szCs w:val="36"/>
          <w14:ligatures w14:val="none"/>
        </w:rPr>
      </w:pPr>
      <w:r w:rsidRPr="00AE52E3">
        <w:rPr>
          <w:rFonts w:ascii="Arial" w:eastAsia="Times New Roman" w:hAnsi="Arial" w:cs="Arial"/>
          <w:b/>
          <w:bCs/>
          <w:kern w:val="0"/>
          <w:sz w:val="36"/>
          <w:szCs w:val="36"/>
          <w14:ligatures w14:val="none"/>
        </w:rPr>
        <w:t>What Makes Modern AI Modern?</w:t>
      </w:r>
    </w:p>
    <w:p w14:paraId="6FA1F0B2"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Modern AI systems differ structurally from traditional software across five core technical characteristics, altering how they must be treated as objects of oversight:</w:t>
      </w:r>
    </w:p>
    <w:p w14:paraId="329BD3BA" w14:textId="77777777" w:rsidR="00AE52E3" w:rsidRPr="00AE52E3" w:rsidRDefault="00AE52E3" w:rsidP="00AE52E3">
      <w:pPr>
        <w:numPr>
          <w:ilvl w:val="0"/>
          <w:numId w:val="5"/>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Data-Driven:</w:t>
      </w:r>
      <w:r w:rsidRPr="00AE52E3">
        <w:rPr>
          <w:rFonts w:ascii="Arial" w:eastAsia="Times New Roman" w:hAnsi="Arial" w:cs="Arial"/>
          <w:kern w:val="0"/>
          <w14:ligatures w14:val="none"/>
        </w:rPr>
        <w:t xml:space="preserve"> Traditional software operates on explicit, developer-written rules. Modern AI learns statistical associations from historical data. Consequently, data quality, data provenance, intellectual property rights, and data annotation labor become primary sites of legal and regulatory intervention.</w:t>
      </w:r>
    </w:p>
    <w:p w14:paraId="1F16522D" w14:textId="77777777" w:rsidR="00AE52E3" w:rsidRPr="00AE52E3" w:rsidRDefault="00AE52E3" w:rsidP="00AE52E3">
      <w:pPr>
        <w:numPr>
          <w:ilvl w:val="0"/>
          <w:numId w:val="5"/>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Probabilistic:</w:t>
      </w:r>
      <w:r w:rsidRPr="00AE52E3">
        <w:rPr>
          <w:rFonts w:ascii="Arial" w:eastAsia="Times New Roman" w:hAnsi="Arial" w:cs="Arial"/>
          <w:kern w:val="0"/>
          <w14:ligatures w14:val="none"/>
        </w:rPr>
        <w:t xml:space="preserve"> Modern AI systems generate probabilities, scores, rankings, and statistical predictions rather than deterministic outputs. This creates a fundamental tension with administrative and legal frameworks that demand explicit, deterministic reasons for decisions (e.g., the denial of a loan, visa, or benefit).</w:t>
      </w:r>
    </w:p>
    <w:p w14:paraId="365B4664" w14:textId="77777777" w:rsidR="00AE52E3" w:rsidRPr="00AE52E3" w:rsidRDefault="00AE52E3" w:rsidP="00AE52E3">
      <w:pPr>
        <w:numPr>
          <w:ilvl w:val="0"/>
          <w:numId w:val="5"/>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Learned Internal Behavior:</w:t>
      </w:r>
      <w:r w:rsidRPr="00AE52E3">
        <w:rPr>
          <w:rFonts w:ascii="Arial" w:eastAsia="Times New Roman" w:hAnsi="Arial" w:cs="Arial"/>
          <w:kern w:val="0"/>
          <w14:ligatures w14:val="none"/>
        </w:rPr>
        <w:t xml:space="preserve"> The internal parameters of a model emerge dynamically through training. This creates structural opacity, which can be technical (mathematical complexity), organizational (proprietary trade secrets), practical (the scale of the model), or epistemic (developers not understanding how internal representations generate specific outputs).</w:t>
      </w:r>
    </w:p>
    <w:p w14:paraId="66A82D16" w14:textId="77777777" w:rsidR="00AE52E3" w:rsidRPr="00AE52E3" w:rsidRDefault="00AE52E3" w:rsidP="00AE52E3">
      <w:pPr>
        <w:numPr>
          <w:ilvl w:val="0"/>
          <w:numId w:val="5"/>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Highly Scalable:</w:t>
      </w:r>
      <w:r w:rsidRPr="00AE52E3">
        <w:rPr>
          <w:rFonts w:ascii="Arial" w:eastAsia="Times New Roman" w:hAnsi="Arial" w:cs="Arial"/>
          <w:kern w:val="0"/>
          <w14:ligatures w14:val="none"/>
        </w:rPr>
        <w:t xml:space="preserve"> A single foundational model can be integrated via APIs into thousands of downstream applications or distributed instantly to millions of users. A localized error or bias can scale rapidly into a systemic, population-wide failure mode.</w:t>
      </w:r>
    </w:p>
    <w:p w14:paraId="5CD69F20" w14:textId="77777777" w:rsidR="00AE52E3" w:rsidRPr="00AE52E3" w:rsidRDefault="00AE52E3" w:rsidP="00AE52E3">
      <w:pPr>
        <w:numPr>
          <w:ilvl w:val="0"/>
          <w:numId w:val="5"/>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Institutionally Embedded:</w:t>
      </w:r>
      <w:r w:rsidRPr="00AE52E3">
        <w:rPr>
          <w:rFonts w:ascii="Arial" w:eastAsia="Times New Roman" w:hAnsi="Arial" w:cs="Arial"/>
          <w:kern w:val="0"/>
          <w14:ligatures w14:val="none"/>
        </w:rPr>
        <w:t xml:space="preserve"> AI is integrated directly into existing decision-making chains within banks, hospitals, police departments, and platforms. Regulating the tool requires regulating how it functions within these institutional resource-allocation processes.</w:t>
      </w:r>
    </w:p>
    <w:p w14:paraId="30A36B50" w14:textId="77777777" w:rsidR="00AE52E3" w:rsidRPr="00AE52E3" w:rsidRDefault="00AE52E3" w:rsidP="00AE52E3">
      <w:pPr>
        <w:spacing w:after="100" w:afterAutospacing="1"/>
        <w:outlineLvl w:val="1"/>
        <w:rPr>
          <w:rFonts w:ascii="Arial" w:eastAsia="Times New Roman" w:hAnsi="Arial" w:cs="Arial"/>
          <w:b/>
          <w:bCs/>
          <w:kern w:val="0"/>
          <w:sz w:val="36"/>
          <w:szCs w:val="36"/>
          <w14:ligatures w14:val="none"/>
        </w:rPr>
      </w:pPr>
      <w:r w:rsidRPr="00AE52E3">
        <w:rPr>
          <w:rFonts w:ascii="Arial" w:eastAsia="Times New Roman" w:hAnsi="Arial" w:cs="Arial"/>
          <w:b/>
          <w:bCs/>
          <w:kern w:val="0"/>
          <w:sz w:val="36"/>
          <w:szCs w:val="36"/>
          <w14:ligatures w14:val="none"/>
        </w:rPr>
        <w:t>Historical Layers of AI</w:t>
      </w:r>
    </w:p>
    <w:p w14:paraId="0858A9FE"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The technological evolution of AI can be categorized into four historical layers, each presenting unique characteristics for technical auditing and compliance:</w:t>
      </w:r>
    </w:p>
    <w:p w14:paraId="4C7E2527" w14:textId="77777777" w:rsidR="00AE52E3" w:rsidRPr="00AE52E3" w:rsidRDefault="00AE52E3" w:rsidP="00AE52E3">
      <w:pPr>
        <w:spacing w:after="100" w:afterAutospacing="1"/>
        <w:outlineLvl w:val="2"/>
        <w:rPr>
          <w:rFonts w:ascii="Arial" w:eastAsia="Times New Roman" w:hAnsi="Arial" w:cs="Arial"/>
          <w:b/>
          <w:bCs/>
          <w:kern w:val="0"/>
          <w:sz w:val="27"/>
          <w:szCs w:val="27"/>
          <w14:ligatures w14:val="none"/>
        </w:rPr>
      </w:pPr>
      <w:r w:rsidRPr="00AE52E3">
        <w:rPr>
          <w:rFonts w:ascii="Arial" w:eastAsia="Times New Roman" w:hAnsi="Arial" w:cs="Arial"/>
          <w:b/>
          <w:bCs/>
          <w:kern w:val="0"/>
          <w:sz w:val="27"/>
          <w:szCs w:val="27"/>
          <w14:ligatures w14:val="none"/>
        </w:rPr>
        <w:lastRenderedPageBreak/>
        <w:t>1. Symbolic AI</w:t>
      </w:r>
    </w:p>
    <w:p w14:paraId="1E6425A2"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Based on explicit rules, formal logic, and hardcoded representations (e.g., expert systems).</w:t>
      </w:r>
    </w:p>
    <w:p w14:paraId="030470E0" w14:textId="77777777" w:rsidR="00AE52E3" w:rsidRPr="00AE52E3" w:rsidRDefault="00AE52E3" w:rsidP="00AE52E3">
      <w:pPr>
        <w:numPr>
          <w:ilvl w:val="0"/>
          <w:numId w:val="6"/>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Regulatory Characteristic:</w:t>
      </w:r>
      <w:r w:rsidRPr="00AE52E3">
        <w:rPr>
          <w:rFonts w:ascii="Arial" w:eastAsia="Times New Roman" w:hAnsi="Arial" w:cs="Arial"/>
          <w:kern w:val="0"/>
          <w14:ligatures w14:val="none"/>
        </w:rPr>
        <w:t xml:space="preserve"> Highly inspectable and auditable because the logic trees are transparent. However, it is technically brittle and fails when applied to unformatted, real-world context-dependent data.</w:t>
      </w:r>
    </w:p>
    <w:p w14:paraId="5C6AFD9E" w14:textId="77777777" w:rsidR="00AE52E3" w:rsidRPr="00AE52E3" w:rsidRDefault="00AE52E3" w:rsidP="00AE52E3">
      <w:pPr>
        <w:spacing w:after="100" w:afterAutospacing="1"/>
        <w:outlineLvl w:val="2"/>
        <w:rPr>
          <w:rFonts w:ascii="Arial" w:eastAsia="Times New Roman" w:hAnsi="Arial" w:cs="Arial"/>
          <w:b/>
          <w:bCs/>
          <w:kern w:val="0"/>
          <w:sz w:val="27"/>
          <w:szCs w:val="27"/>
          <w14:ligatures w14:val="none"/>
        </w:rPr>
      </w:pPr>
      <w:r w:rsidRPr="00AE52E3">
        <w:rPr>
          <w:rFonts w:ascii="Arial" w:eastAsia="Times New Roman" w:hAnsi="Arial" w:cs="Arial"/>
          <w:b/>
          <w:bCs/>
          <w:kern w:val="0"/>
          <w:sz w:val="27"/>
          <w:szCs w:val="27"/>
          <w14:ligatures w14:val="none"/>
        </w:rPr>
        <w:t>2. Statistical Machine Learning</w:t>
      </w:r>
    </w:p>
    <w:p w14:paraId="0F9071BE"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Shifts from explicit instructions to patterns learned from examples.</w:t>
      </w:r>
    </w:p>
    <w:p w14:paraId="33683A40" w14:textId="77777777" w:rsidR="00AE52E3" w:rsidRPr="00AE52E3" w:rsidRDefault="00AE52E3" w:rsidP="00AE52E3">
      <w:pPr>
        <w:numPr>
          <w:ilvl w:val="0"/>
          <w:numId w:val="7"/>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Regulatory Characteristic:</w:t>
      </w:r>
      <w:r w:rsidRPr="00AE52E3">
        <w:rPr>
          <w:rFonts w:ascii="Arial" w:eastAsia="Times New Roman" w:hAnsi="Arial" w:cs="Arial"/>
          <w:kern w:val="0"/>
          <w14:ligatures w14:val="none"/>
        </w:rPr>
        <w:t xml:space="preserve"> Auditing shifts from code inspection to data validation, requiring regulators to evaluate labels, features, evaluation methods, and training data distributions.</w:t>
      </w:r>
    </w:p>
    <w:p w14:paraId="408F73E1" w14:textId="77777777" w:rsidR="00AE52E3" w:rsidRPr="00AE52E3" w:rsidRDefault="00AE52E3" w:rsidP="00AE52E3">
      <w:pPr>
        <w:spacing w:after="100" w:afterAutospacing="1"/>
        <w:outlineLvl w:val="2"/>
        <w:rPr>
          <w:rFonts w:ascii="Arial" w:eastAsia="Times New Roman" w:hAnsi="Arial" w:cs="Arial"/>
          <w:b/>
          <w:bCs/>
          <w:kern w:val="0"/>
          <w:sz w:val="27"/>
          <w:szCs w:val="27"/>
          <w14:ligatures w14:val="none"/>
        </w:rPr>
      </w:pPr>
      <w:r w:rsidRPr="00AE52E3">
        <w:rPr>
          <w:rFonts w:ascii="Arial" w:eastAsia="Times New Roman" w:hAnsi="Arial" w:cs="Arial"/>
          <w:b/>
          <w:bCs/>
          <w:kern w:val="0"/>
          <w:sz w:val="27"/>
          <w:szCs w:val="27"/>
          <w14:ligatures w14:val="none"/>
        </w:rPr>
        <w:t>3. Deep Learning</w:t>
      </w:r>
    </w:p>
    <w:p w14:paraId="5A5D5547"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Utilizes multi-layered artificial neural networks to automatically learn internal representations of data, accelerated by large datasets, increased compute power (GPUs), and architectural advancements.</w:t>
      </w:r>
    </w:p>
    <w:p w14:paraId="499D7D21" w14:textId="77777777" w:rsidR="00AE52E3" w:rsidRPr="00AE52E3" w:rsidRDefault="00AE52E3" w:rsidP="00AE52E3">
      <w:pPr>
        <w:numPr>
          <w:ilvl w:val="0"/>
          <w:numId w:val="8"/>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Regulatory Characteristic:</w:t>
      </w:r>
      <w:r w:rsidRPr="00AE52E3">
        <w:rPr>
          <w:rFonts w:ascii="Arial" w:eastAsia="Times New Roman" w:hAnsi="Arial" w:cs="Arial"/>
          <w:kern w:val="0"/>
          <w14:ligatures w14:val="none"/>
        </w:rPr>
        <w:t xml:space="preserve"> Introduces deep opacity due to the interaction of billions of internal parameters, making post-hoc explanation technically difficult and making systems vulnerable to adversarial shifts.</w:t>
      </w:r>
    </w:p>
    <w:p w14:paraId="39D629E3" w14:textId="77777777" w:rsidR="00AE52E3" w:rsidRPr="00AE52E3" w:rsidRDefault="00AE52E3" w:rsidP="00AE52E3">
      <w:pPr>
        <w:spacing w:after="100" w:afterAutospacing="1"/>
        <w:outlineLvl w:val="2"/>
        <w:rPr>
          <w:rFonts w:ascii="Arial" w:eastAsia="Times New Roman" w:hAnsi="Arial" w:cs="Arial"/>
          <w:b/>
          <w:bCs/>
          <w:kern w:val="0"/>
          <w:sz w:val="27"/>
          <w:szCs w:val="27"/>
          <w14:ligatures w14:val="none"/>
        </w:rPr>
      </w:pPr>
      <w:r w:rsidRPr="00AE52E3">
        <w:rPr>
          <w:rFonts w:ascii="Arial" w:eastAsia="Times New Roman" w:hAnsi="Arial" w:cs="Arial"/>
          <w:b/>
          <w:bCs/>
          <w:kern w:val="0"/>
          <w:sz w:val="27"/>
          <w:szCs w:val="27"/>
          <w14:ligatures w14:val="none"/>
        </w:rPr>
        <w:t>4. Foundation Models</w:t>
      </w:r>
    </w:p>
    <w:p w14:paraId="6811CD91"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 xml:space="preserve">Large, general-purpose models (such as large language models built on the </w:t>
      </w:r>
      <w:r w:rsidRPr="00AE52E3">
        <w:rPr>
          <w:rFonts w:ascii="Arial" w:eastAsia="Times New Roman" w:hAnsi="Arial" w:cs="Arial"/>
          <w:b/>
          <w:bCs/>
          <w:kern w:val="0"/>
          <w14:ligatures w14:val="none"/>
        </w:rPr>
        <w:t>transformer</w:t>
      </w:r>
      <w:r w:rsidRPr="00AE52E3">
        <w:rPr>
          <w:rFonts w:ascii="Arial" w:eastAsia="Times New Roman" w:hAnsi="Arial" w:cs="Arial"/>
          <w:kern w:val="0"/>
          <w14:ligatures w14:val="none"/>
        </w:rPr>
        <w:t xml:space="preserve"> architecture's attention mechanisms) trained on broad data and adaptable to a vast array of downstream tasks.</w:t>
      </w:r>
    </w:p>
    <w:p w14:paraId="0E08274B" w14:textId="77777777" w:rsidR="00AE52E3" w:rsidRPr="00AE52E3" w:rsidRDefault="00AE52E3" w:rsidP="00AE52E3">
      <w:pPr>
        <w:numPr>
          <w:ilvl w:val="0"/>
          <w:numId w:val="9"/>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Regulatory Characteristic:</w:t>
      </w:r>
      <w:r w:rsidRPr="00AE52E3">
        <w:rPr>
          <w:rFonts w:ascii="Arial" w:eastAsia="Times New Roman" w:hAnsi="Arial" w:cs="Arial"/>
          <w:kern w:val="0"/>
          <w14:ligatures w14:val="none"/>
        </w:rPr>
        <w:t xml:space="preserve"> Disrupts traditional product-liability frameworks because the primary developer cannot foresee all downstream applications, and downstream deployers lack access to or understanding of the underlying training data and infrastructure.</w:t>
      </w:r>
    </w:p>
    <w:p w14:paraId="69D82622" w14:textId="77777777" w:rsidR="00AE52E3" w:rsidRPr="00AE52E3" w:rsidRDefault="00AE52E3" w:rsidP="00AE52E3">
      <w:pPr>
        <w:spacing w:after="100" w:afterAutospacing="1"/>
        <w:outlineLvl w:val="1"/>
        <w:rPr>
          <w:rFonts w:ascii="Arial" w:eastAsia="Times New Roman" w:hAnsi="Arial" w:cs="Arial"/>
          <w:b/>
          <w:bCs/>
          <w:kern w:val="0"/>
          <w:sz w:val="36"/>
          <w:szCs w:val="36"/>
          <w14:ligatures w14:val="none"/>
        </w:rPr>
      </w:pPr>
      <w:r w:rsidRPr="00AE52E3">
        <w:rPr>
          <w:rFonts w:ascii="Arial" w:eastAsia="Times New Roman" w:hAnsi="Arial" w:cs="Arial"/>
          <w:b/>
          <w:bCs/>
          <w:kern w:val="0"/>
          <w:sz w:val="36"/>
          <w:szCs w:val="36"/>
          <w14:ligatures w14:val="none"/>
        </w:rPr>
        <w:t>The Machine-Learning Pipeline</w:t>
      </w:r>
    </w:p>
    <w:p w14:paraId="243BE7E8"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To design precise policy interventions, the lifecycle of AI development must be disaggregated into sequential stages, each serving as a distinct touchpoint for governance:</w:t>
      </w:r>
    </w:p>
    <w:p w14:paraId="293C64EE" w14:textId="77777777" w:rsidR="00AE52E3" w:rsidRPr="00AE52E3" w:rsidRDefault="00AE52E3" w:rsidP="00AE52E3">
      <w:pPr>
        <w:numPr>
          <w:ilvl w:val="0"/>
          <w:numId w:val="10"/>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lastRenderedPageBreak/>
        <w:t>Data Collection:</w:t>
      </w:r>
      <w:r w:rsidRPr="00AE52E3">
        <w:rPr>
          <w:rFonts w:ascii="Arial" w:eastAsia="Times New Roman" w:hAnsi="Arial" w:cs="Arial"/>
          <w:kern w:val="0"/>
          <w14:ligatures w14:val="none"/>
        </w:rPr>
        <w:t xml:space="preserve"> Capturing real-world phenomena and translating them into data points. This stage defines what is observed, what is ignored, and what categories are used.</w:t>
      </w:r>
    </w:p>
    <w:p w14:paraId="0CF8DA67" w14:textId="77777777" w:rsidR="00AE52E3" w:rsidRPr="00AE52E3" w:rsidRDefault="00AE52E3" w:rsidP="00AE52E3">
      <w:pPr>
        <w:numPr>
          <w:ilvl w:val="0"/>
          <w:numId w:val="10"/>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Cleaning and Preprocessing:</w:t>
      </w:r>
      <w:r w:rsidRPr="00AE52E3">
        <w:rPr>
          <w:rFonts w:ascii="Arial" w:eastAsia="Times New Roman" w:hAnsi="Arial" w:cs="Arial"/>
          <w:kern w:val="0"/>
          <w14:ligatures w14:val="none"/>
        </w:rPr>
        <w:t xml:space="preserve"> Filtering, standardizing, and normalizing raw inputs. Human technical choices at this stage determine what constitutes "noise" or an "outlier."</w:t>
      </w:r>
    </w:p>
    <w:p w14:paraId="41DF5006" w14:textId="77777777" w:rsidR="00AE52E3" w:rsidRPr="00AE52E3" w:rsidRDefault="00AE52E3" w:rsidP="00AE52E3">
      <w:pPr>
        <w:numPr>
          <w:ilvl w:val="0"/>
          <w:numId w:val="10"/>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Labeling and Annotation:</w:t>
      </w:r>
      <w:r w:rsidRPr="00AE52E3">
        <w:rPr>
          <w:rFonts w:ascii="Arial" w:eastAsia="Times New Roman" w:hAnsi="Arial" w:cs="Arial"/>
          <w:kern w:val="0"/>
          <w14:ligatures w14:val="none"/>
        </w:rPr>
        <w:t xml:space="preserve"> Assigning target answers to inputs (e.g., classifying text as "hate speech" or "dissent"). This stage explicitly encodes institutional assumptions, cultural judgments, and legal classifications into the technical object.</w:t>
      </w:r>
    </w:p>
    <w:p w14:paraId="2F0DCF45" w14:textId="77777777" w:rsidR="00AE52E3" w:rsidRPr="00AE52E3" w:rsidRDefault="00AE52E3" w:rsidP="00AE52E3">
      <w:pPr>
        <w:numPr>
          <w:ilvl w:val="0"/>
          <w:numId w:val="10"/>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Data Splitting:</w:t>
      </w:r>
      <w:r w:rsidRPr="00AE52E3">
        <w:rPr>
          <w:rFonts w:ascii="Arial" w:eastAsia="Times New Roman" w:hAnsi="Arial" w:cs="Arial"/>
          <w:kern w:val="0"/>
          <w14:ligatures w14:val="none"/>
        </w:rPr>
        <w:t xml:space="preserve"> Partitioning datasets into </w:t>
      </w:r>
      <w:r w:rsidRPr="00AE52E3">
        <w:rPr>
          <w:rFonts w:ascii="Arial" w:eastAsia="Times New Roman" w:hAnsi="Arial" w:cs="Arial"/>
          <w:i/>
          <w:iCs/>
          <w:kern w:val="0"/>
          <w14:ligatures w14:val="none"/>
        </w:rPr>
        <w:t>training data</w:t>
      </w:r>
      <w:r w:rsidRPr="00AE52E3">
        <w:rPr>
          <w:rFonts w:ascii="Arial" w:eastAsia="Times New Roman" w:hAnsi="Arial" w:cs="Arial"/>
          <w:kern w:val="0"/>
          <w14:ligatures w14:val="none"/>
        </w:rPr>
        <w:t xml:space="preserve"> (to fit parameters), </w:t>
      </w:r>
      <w:r w:rsidRPr="00AE52E3">
        <w:rPr>
          <w:rFonts w:ascii="Arial" w:eastAsia="Times New Roman" w:hAnsi="Arial" w:cs="Arial"/>
          <w:i/>
          <w:iCs/>
          <w:kern w:val="0"/>
          <w14:ligatures w14:val="none"/>
        </w:rPr>
        <w:t>validation data</w:t>
      </w:r>
      <w:r w:rsidRPr="00AE52E3">
        <w:rPr>
          <w:rFonts w:ascii="Arial" w:eastAsia="Times New Roman" w:hAnsi="Arial" w:cs="Arial"/>
          <w:kern w:val="0"/>
          <w14:ligatures w14:val="none"/>
        </w:rPr>
        <w:t xml:space="preserve"> (to tune hyperparameters during development), and </w:t>
      </w:r>
      <w:r w:rsidRPr="00AE52E3">
        <w:rPr>
          <w:rFonts w:ascii="Arial" w:eastAsia="Times New Roman" w:hAnsi="Arial" w:cs="Arial"/>
          <w:i/>
          <w:iCs/>
          <w:kern w:val="0"/>
          <w14:ligatures w14:val="none"/>
        </w:rPr>
        <w:t>test data</w:t>
      </w:r>
      <w:r w:rsidRPr="00AE52E3">
        <w:rPr>
          <w:rFonts w:ascii="Arial" w:eastAsia="Times New Roman" w:hAnsi="Arial" w:cs="Arial"/>
          <w:kern w:val="0"/>
          <w14:ligatures w14:val="none"/>
        </w:rPr>
        <w:t xml:space="preserve"> (held out to evaluate final generalization capability on unseen examples).</w:t>
      </w:r>
    </w:p>
    <w:p w14:paraId="3FD562C8" w14:textId="77777777" w:rsidR="00AE52E3" w:rsidRPr="00AE52E3" w:rsidRDefault="00AE52E3" w:rsidP="00AE52E3">
      <w:pPr>
        <w:numPr>
          <w:ilvl w:val="0"/>
          <w:numId w:val="10"/>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Model Training and Optimization:</w:t>
      </w:r>
      <w:r w:rsidRPr="00AE52E3">
        <w:rPr>
          <w:rFonts w:ascii="Arial" w:eastAsia="Times New Roman" w:hAnsi="Arial" w:cs="Arial"/>
          <w:kern w:val="0"/>
          <w14:ligatures w14:val="none"/>
        </w:rPr>
        <w:t xml:space="preserve"> The iterative adjustment of </w:t>
      </w:r>
      <w:r w:rsidRPr="00AE52E3">
        <w:rPr>
          <w:rFonts w:ascii="Arial" w:eastAsia="Times New Roman" w:hAnsi="Arial" w:cs="Arial"/>
          <w:b/>
          <w:bCs/>
          <w:kern w:val="0"/>
          <w14:ligatures w14:val="none"/>
        </w:rPr>
        <w:t>parameters</w:t>
      </w:r>
      <w:r w:rsidRPr="00AE52E3">
        <w:rPr>
          <w:rFonts w:ascii="Arial" w:eastAsia="Times New Roman" w:hAnsi="Arial" w:cs="Arial"/>
          <w:kern w:val="0"/>
          <w14:ligatures w14:val="none"/>
        </w:rPr>
        <w:t xml:space="preserve"> (internal weights and biases) to minimize a </w:t>
      </w:r>
      <w:r w:rsidRPr="00AE52E3">
        <w:rPr>
          <w:rFonts w:ascii="Arial" w:eastAsia="Times New Roman" w:hAnsi="Arial" w:cs="Arial"/>
          <w:b/>
          <w:bCs/>
          <w:kern w:val="0"/>
          <w14:ligatures w14:val="none"/>
        </w:rPr>
        <w:t>loss function</w:t>
      </w:r>
      <w:r w:rsidRPr="00AE52E3">
        <w:rPr>
          <w:rFonts w:ascii="Arial" w:eastAsia="Times New Roman" w:hAnsi="Arial" w:cs="Arial"/>
          <w:kern w:val="0"/>
          <w14:ligatures w14:val="none"/>
        </w:rPr>
        <w:t xml:space="preserve"> (the mathematical measure of model error). This is driven by optimization algorithms like </w:t>
      </w:r>
      <w:r w:rsidRPr="00AE52E3">
        <w:rPr>
          <w:rFonts w:ascii="Arial" w:eastAsia="Times New Roman" w:hAnsi="Arial" w:cs="Arial"/>
          <w:b/>
          <w:bCs/>
          <w:kern w:val="0"/>
          <w14:ligatures w14:val="none"/>
        </w:rPr>
        <w:t>gradient descent</w:t>
      </w:r>
      <w:r w:rsidRPr="00AE52E3">
        <w:rPr>
          <w:rFonts w:ascii="Arial" w:eastAsia="Times New Roman" w:hAnsi="Arial" w:cs="Arial"/>
          <w:kern w:val="0"/>
          <w14:ligatures w14:val="none"/>
        </w:rPr>
        <w:t xml:space="preserve"> (calculating local error reductions) and </w:t>
      </w:r>
      <w:r w:rsidRPr="00AE52E3">
        <w:rPr>
          <w:rFonts w:ascii="Arial" w:eastAsia="Times New Roman" w:hAnsi="Arial" w:cs="Arial"/>
          <w:b/>
          <w:bCs/>
          <w:kern w:val="0"/>
          <w14:ligatures w14:val="none"/>
        </w:rPr>
        <w:t>backpropagation</w:t>
      </w:r>
      <w:r w:rsidRPr="00AE52E3">
        <w:rPr>
          <w:rFonts w:ascii="Arial" w:eastAsia="Times New Roman" w:hAnsi="Arial" w:cs="Arial"/>
          <w:kern w:val="0"/>
          <w14:ligatures w14:val="none"/>
        </w:rPr>
        <w:t xml:space="preserve"> (passing error signals backward through network layers). Human-configured design choices are controlled via </w:t>
      </w:r>
      <w:r w:rsidRPr="00AE52E3">
        <w:rPr>
          <w:rFonts w:ascii="Arial" w:eastAsia="Times New Roman" w:hAnsi="Arial" w:cs="Arial"/>
          <w:b/>
          <w:bCs/>
          <w:kern w:val="0"/>
          <w14:ligatures w14:val="none"/>
        </w:rPr>
        <w:t>hyperparameters</w:t>
      </w:r>
      <w:r w:rsidRPr="00AE52E3">
        <w:rPr>
          <w:rFonts w:ascii="Arial" w:eastAsia="Times New Roman" w:hAnsi="Arial" w:cs="Arial"/>
          <w:kern w:val="0"/>
          <w14:ligatures w14:val="none"/>
        </w:rPr>
        <w:t xml:space="preserve"> (learning rates, layer counts, batch sizes).</w:t>
      </w:r>
    </w:p>
    <w:p w14:paraId="783B6EE4" w14:textId="77777777" w:rsidR="00AE52E3" w:rsidRPr="00AE52E3" w:rsidRDefault="00AE52E3" w:rsidP="00AE52E3">
      <w:pPr>
        <w:numPr>
          <w:ilvl w:val="0"/>
          <w:numId w:val="10"/>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Evaluation and Benchmarking:</w:t>
      </w:r>
      <w:r w:rsidRPr="00AE52E3">
        <w:rPr>
          <w:rFonts w:ascii="Arial" w:eastAsia="Times New Roman" w:hAnsi="Arial" w:cs="Arial"/>
          <w:kern w:val="0"/>
          <w14:ligatures w14:val="none"/>
        </w:rPr>
        <w:t xml:space="preserve"> Assessing the model using specific metrics (accuracy, precision, recall, F1 scores) or public benchmarks. Governance challenges here center on whether benchmarks accurately replicate real-world deployment risks or obscure subgroup failures under high average scores.</w:t>
      </w:r>
    </w:p>
    <w:p w14:paraId="1B1A11AC" w14:textId="77777777" w:rsidR="00AE52E3" w:rsidRPr="00AE52E3" w:rsidRDefault="00AE52E3" w:rsidP="00AE52E3">
      <w:pPr>
        <w:numPr>
          <w:ilvl w:val="0"/>
          <w:numId w:val="10"/>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Deployment and Inference:</w:t>
      </w:r>
      <w:r w:rsidRPr="00AE52E3">
        <w:rPr>
          <w:rFonts w:ascii="Arial" w:eastAsia="Times New Roman" w:hAnsi="Arial" w:cs="Arial"/>
          <w:kern w:val="0"/>
          <w14:ligatures w14:val="none"/>
        </w:rPr>
        <w:t xml:space="preserve"> Placing the validated system into an active technical environment where it runs </w:t>
      </w:r>
      <w:r w:rsidRPr="00AE52E3">
        <w:rPr>
          <w:rFonts w:ascii="Arial" w:eastAsia="Times New Roman" w:hAnsi="Arial" w:cs="Arial"/>
          <w:b/>
          <w:bCs/>
          <w:kern w:val="0"/>
          <w14:ligatures w14:val="none"/>
        </w:rPr>
        <w:t>inference</w:t>
      </w:r>
      <w:r w:rsidRPr="00AE52E3">
        <w:rPr>
          <w:rFonts w:ascii="Arial" w:eastAsia="Times New Roman" w:hAnsi="Arial" w:cs="Arial"/>
          <w:kern w:val="0"/>
          <w14:ligatures w14:val="none"/>
        </w:rPr>
        <w:t xml:space="preserve"> (processing live, unlabeled user inputs to generate real-time outputs). This splits governance into pre-deployment training rules (intellectual property, data provenance, compute audits) and post-deployment inference rules (data privacy, output monitoring, user appeals, and liability for harms).</w:t>
      </w:r>
    </w:p>
    <w:p w14:paraId="5224BC17" w14:textId="77777777" w:rsidR="00AE52E3" w:rsidRPr="00AE52E3" w:rsidRDefault="00AE52E3" w:rsidP="00AE52E3">
      <w:pPr>
        <w:numPr>
          <w:ilvl w:val="0"/>
          <w:numId w:val="10"/>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Monitoring and Data Drift:</w:t>
      </w:r>
      <w:r w:rsidRPr="00AE52E3">
        <w:rPr>
          <w:rFonts w:ascii="Arial" w:eastAsia="Times New Roman" w:hAnsi="Arial" w:cs="Arial"/>
          <w:kern w:val="0"/>
          <w14:ligatures w14:val="none"/>
        </w:rPr>
        <w:t xml:space="preserve"> Oversight of the system post-deployment. Because real-world environments, user behaviors, and economic conditions change, models experience </w:t>
      </w:r>
      <w:r w:rsidRPr="00AE52E3">
        <w:rPr>
          <w:rFonts w:ascii="Arial" w:eastAsia="Times New Roman" w:hAnsi="Arial" w:cs="Arial"/>
          <w:i/>
          <w:iCs/>
          <w:kern w:val="0"/>
          <w14:ligatures w14:val="none"/>
        </w:rPr>
        <w:t>data drift</w:t>
      </w:r>
      <w:r w:rsidRPr="00AE52E3">
        <w:rPr>
          <w:rFonts w:ascii="Arial" w:eastAsia="Times New Roman" w:hAnsi="Arial" w:cs="Arial"/>
          <w:kern w:val="0"/>
          <w14:ligatures w14:val="none"/>
        </w:rPr>
        <w:t xml:space="preserve"> (performance degradation), requiring clear protocols for retraining, restriction, or retirement.</w:t>
      </w:r>
    </w:p>
    <w:p w14:paraId="66509891" w14:textId="77777777" w:rsidR="00AE52E3" w:rsidRPr="00AE52E3" w:rsidRDefault="00AE52E3" w:rsidP="00AE52E3">
      <w:pPr>
        <w:spacing w:after="100" w:afterAutospacing="1"/>
        <w:outlineLvl w:val="1"/>
        <w:rPr>
          <w:rFonts w:ascii="Arial" w:eastAsia="Times New Roman" w:hAnsi="Arial" w:cs="Arial"/>
          <w:b/>
          <w:bCs/>
          <w:kern w:val="0"/>
          <w:sz w:val="36"/>
          <w:szCs w:val="36"/>
          <w14:ligatures w14:val="none"/>
        </w:rPr>
      </w:pPr>
      <w:r w:rsidRPr="00AE52E3">
        <w:rPr>
          <w:rFonts w:ascii="Arial" w:eastAsia="Times New Roman" w:hAnsi="Arial" w:cs="Arial"/>
          <w:b/>
          <w:bCs/>
          <w:kern w:val="0"/>
          <w:sz w:val="36"/>
          <w:szCs w:val="36"/>
          <w14:ligatures w14:val="none"/>
        </w:rPr>
        <w:t>Features, Representations, and Embeddings</w:t>
      </w:r>
    </w:p>
    <w:p w14:paraId="3CF9E731" w14:textId="77777777" w:rsidR="00AE52E3" w:rsidRPr="00AE52E3" w:rsidRDefault="00AE52E3" w:rsidP="00AE52E3">
      <w:pPr>
        <w:spacing w:after="100" w:afterAutospacing="1"/>
        <w:rPr>
          <w:rFonts w:ascii="Arial" w:eastAsia="Times New Roman" w:hAnsi="Arial" w:cs="Arial"/>
          <w:kern w:val="0"/>
          <w14:ligatures w14:val="none"/>
        </w:rPr>
      </w:pPr>
      <w:r w:rsidRPr="00AE52E3">
        <w:rPr>
          <w:rFonts w:ascii="Arial" w:eastAsia="Times New Roman" w:hAnsi="Arial" w:cs="Arial"/>
          <w:kern w:val="0"/>
          <w14:ligatures w14:val="none"/>
        </w:rPr>
        <w:t>The final layer of disaggregation concerns how information is structured and processed mathematically inside an AI model:</w:t>
      </w:r>
    </w:p>
    <w:p w14:paraId="5A270795" w14:textId="77777777" w:rsidR="00AE52E3" w:rsidRPr="00AE52E3" w:rsidRDefault="00AE52E3" w:rsidP="00AE52E3">
      <w:pPr>
        <w:numPr>
          <w:ilvl w:val="0"/>
          <w:numId w:val="11"/>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Features:</w:t>
      </w:r>
      <w:r w:rsidRPr="00AE52E3">
        <w:rPr>
          <w:rFonts w:ascii="Arial" w:eastAsia="Times New Roman" w:hAnsi="Arial" w:cs="Arial"/>
          <w:kern w:val="0"/>
          <w14:ligatures w14:val="none"/>
        </w:rPr>
        <w:t xml:space="preserve"> The individual input variables utilized by a model. In traditional machine learning, these are explicitly designed by humans (e.g., income level, age, specific lab values). In deep learning, the system extracts its own internal </w:t>
      </w:r>
      <w:r w:rsidRPr="00AE52E3">
        <w:rPr>
          <w:rFonts w:ascii="Arial" w:eastAsia="Times New Roman" w:hAnsi="Arial" w:cs="Arial"/>
          <w:b/>
          <w:bCs/>
          <w:kern w:val="0"/>
          <w14:ligatures w14:val="none"/>
        </w:rPr>
        <w:t>representations</w:t>
      </w:r>
      <w:r w:rsidRPr="00AE52E3">
        <w:rPr>
          <w:rFonts w:ascii="Arial" w:eastAsia="Times New Roman" w:hAnsi="Arial" w:cs="Arial"/>
          <w:kern w:val="0"/>
          <w14:ligatures w14:val="none"/>
        </w:rPr>
        <w:t xml:space="preserve"> of these variables.</w:t>
      </w:r>
    </w:p>
    <w:p w14:paraId="265AD598" w14:textId="77777777" w:rsidR="00AE52E3" w:rsidRDefault="00AE52E3" w:rsidP="00AE52E3">
      <w:pPr>
        <w:numPr>
          <w:ilvl w:val="0"/>
          <w:numId w:val="11"/>
        </w:numPr>
        <w:spacing w:after="100" w:afterAutospacing="1"/>
        <w:rPr>
          <w:rFonts w:ascii="Arial" w:eastAsia="Times New Roman" w:hAnsi="Arial" w:cs="Arial"/>
          <w:kern w:val="0"/>
          <w14:ligatures w14:val="none"/>
        </w:rPr>
      </w:pPr>
      <w:r w:rsidRPr="00AE52E3">
        <w:rPr>
          <w:rFonts w:ascii="Arial" w:eastAsia="Times New Roman" w:hAnsi="Arial" w:cs="Arial"/>
          <w:b/>
          <w:bCs/>
          <w:kern w:val="0"/>
          <w14:ligatures w14:val="none"/>
        </w:rPr>
        <w:t>Embeddings:</w:t>
      </w:r>
      <w:r w:rsidRPr="00AE52E3">
        <w:rPr>
          <w:rFonts w:ascii="Arial" w:eastAsia="Times New Roman" w:hAnsi="Arial" w:cs="Arial"/>
          <w:kern w:val="0"/>
          <w14:ligatures w14:val="none"/>
        </w:rPr>
        <w:t xml:space="preserve"> The primary mathematical mechanism for deep learning representation, where discrete data points (words, images, user profiles, videos) are translated into high-dimensional numerical vectors.</w:t>
      </w:r>
    </w:p>
    <w:p w14:paraId="10F8847E" w14:textId="630234B5" w:rsidR="00414840" w:rsidRDefault="00414840" w:rsidP="00414840">
      <w:pPr>
        <w:spacing w:after="100" w:afterAutospacing="1"/>
        <w:rPr>
          <w:rFonts w:ascii="Arial" w:eastAsia="Times New Roman" w:hAnsi="Arial" w:cs="Arial"/>
          <w:kern w:val="0"/>
          <w14:ligatures w14:val="none"/>
        </w:rPr>
      </w:pPr>
      <w:r>
        <w:rPr>
          <w:rFonts w:ascii="Arial" w:eastAsia="Times New Roman" w:hAnsi="Arial" w:cs="Arial"/>
          <w:noProof/>
          <w:kern w:val="0"/>
        </w:rPr>
        <w:lastRenderedPageBreak/>
        <w:drawing>
          <wp:inline distT="0" distB="0" distL="0" distR="0" wp14:anchorId="66ACEC21" wp14:editId="70EC0001">
            <wp:extent cx="5334000" cy="774700"/>
            <wp:effectExtent l="0" t="0" r="0" b="0"/>
            <wp:docPr id="1628793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3936" name="Picture 1628793936"/>
                    <pic:cNvPicPr/>
                  </pic:nvPicPr>
                  <pic:blipFill>
                    <a:blip r:embed="rId7">
                      <a:extLst>
                        <a:ext uri="{28A0092B-C50C-407E-A947-70E740481C1C}">
                          <a14:useLocalDpi xmlns:a14="http://schemas.microsoft.com/office/drawing/2010/main" val="0"/>
                        </a:ext>
                      </a:extLst>
                    </a:blip>
                    <a:stretch>
                      <a:fillRect/>
                    </a:stretch>
                  </pic:blipFill>
                  <pic:spPr>
                    <a:xfrm>
                      <a:off x="0" y="0"/>
                      <a:ext cx="5334000" cy="774700"/>
                    </a:xfrm>
                    <a:prstGeom prst="rect">
                      <a:avLst/>
                    </a:prstGeom>
                  </pic:spPr>
                </pic:pic>
              </a:graphicData>
            </a:graphic>
          </wp:inline>
        </w:drawing>
      </w:r>
    </w:p>
    <w:p w14:paraId="0F2A25EA" w14:textId="77777777" w:rsidR="00414840" w:rsidRPr="00414840" w:rsidRDefault="00414840" w:rsidP="00414840">
      <w:pPr>
        <w:spacing w:after="100" w:afterAutospacing="1"/>
        <w:rPr>
          <w:rFonts w:ascii="Arial" w:eastAsia="Times New Roman" w:hAnsi="Arial" w:cs="Arial"/>
          <w:kern w:val="0"/>
          <w14:ligatures w14:val="none"/>
        </w:rPr>
      </w:pPr>
      <w:r w:rsidRPr="00414840">
        <w:rPr>
          <w:rFonts w:ascii="Arial" w:eastAsia="Times New Roman" w:hAnsi="Arial" w:cs="Arial"/>
          <w:kern w:val="0"/>
          <w14:ligatures w14:val="none"/>
        </w:rPr>
        <w:t>Embeddings place items with contextual or semantic similarity close together within a mathematical vector space.</w:t>
      </w:r>
    </w:p>
    <w:p w14:paraId="5EFD3CC0" w14:textId="77777777" w:rsidR="00414840" w:rsidRPr="00414840" w:rsidRDefault="00414840" w:rsidP="00414840">
      <w:pPr>
        <w:spacing w:after="100" w:afterAutospacing="1"/>
        <w:rPr>
          <w:rFonts w:ascii="Arial" w:eastAsia="Times New Roman" w:hAnsi="Arial" w:cs="Arial"/>
          <w:kern w:val="0"/>
          <w14:ligatures w14:val="none"/>
        </w:rPr>
      </w:pPr>
      <w:r w:rsidRPr="00414840">
        <w:rPr>
          <w:rFonts w:ascii="Arial" w:eastAsia="Times New Roman" w:hAnsi="Arial" w:cs="Arial"/>
          <w:kern w:val="0"/>
          <w14:ligatures w14:val="none"/>
        </w:rPr>
        <w:t>For regulation, embeddings are highly relevant objects of analysis because they formalize and lock in historical relationships. If the underlying training data contains structural inequalities or demographic biases, the embedding process translates those social patterns into mathematical proximity. Downstream applications optimizing for statistical similarity will systematically replicate those historical patterns under a veneer of mathematical neutrality.</w:t>
      </w:r>
    </w:p>
    <w:p w14:paraId="34107B2D" w14:textId="77777777" w:rsidR="00414840" w:rsidRPr="00414840" w:rsidRDefault="00414840" w:rsidP="00414840">
      <w:pPr>
        <w:jc w:val="center"/>
        <w:rPr>
          <w:rFonts w:ascii="Times New Roman" w:eastAsia="Times New Roman" w:hAnsi="Times New Roman" w:cs="Times New Roman"/>
          <w:kern w:val="0"/>
          <w14:ligatures w14:val="none"/>
        </w:rPr>
      </w:pPr>
    </w:p>
    <w:p w14:paraId="6F803F90" w14:textId="77777777" w:rsidR="00414840" w:rsidRPr="00AE52E3" w:rsidRDefault="00414840" w:rsidP="00414840">
      <w:pPr>
        <w:spacing w:after="100" w:afterAutospacing="1"/>
        <w:rPr>
          <w:rFonts w:ascii="Arial" w:eastAsia="Times New Roman" w:hAnsi="Arial" w:cs="Arial"/>
          <w:kern w:val="0"/>
          <w14:ligatures w14:val="none"/>
        </w:rPr>
      </w:pPr>
    </w:p>
    <w:p w14:paraId="05C0E25E" w14:textId="77777777" w:rsidR="00AE52E3" w:rsidRPr="00AE52E3" w:rsidRDefault="00AE52E3" w:rsidP="00AE52E3">
      <w:pPr>
        <w:jc w:val="center"/>
        <w:rPr>
          <w:rFonts w:ascii="Times New Roman" w:eastAsia="Times New Roman" w:hAnsi="Times New Roman" w:cs="Times New Roman"/>
          <w:kern w:val="0"/>
          <w14:ligatures w14:val="none"/>
        </w:rPr>
      </w:pPr>
    </w:p>
    <w:p w14:paraId="11696E0A" w14:textId="77777777" w:rsidR="004F1627" w:rsidRDefault="004F1627"/>
    <w:sectPr w:rsidR="004F1627"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A865B1"/>
    <w:multiLevelType w:val="multilevel"/>
    <w:tmpl w:val="1A66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C000A"/>
    <w:multiLevelType w:val="multilevel"/>
    <w:tmpl w:val="417A6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C4E9E"/>
    <w:multiLevelType w:val="multilevel"/>
    <w:tmpl w:val="AE7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613E5"/>
    <w:multiLevelType w:val="multilevel"/>
    <w:tmpl w:val="CC0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F0EB6"/>
    <w:multiLevelType w:val="multilevel"/>
    <w:tmpl w:val="23E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C6648"/>
    <w:multiLevelType w:val="multilevel"/>
    <w:tmpl w:val="26CE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833A6"/>
    <w:multiLevelType w:val="multilevel"/>
    <w:tmpl w:val="410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B0DA5"/>
    <w:multiLevelType w:val="multilevel"/>
    <w:tmpl w:val="2F42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F0BFB"/>
    <w:multiLevelType w:val="multilevel"/>
    <w:tmpl w:val="B040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55DA3"/>
    <w:multiLevelType w:val="multilevel"/>
    <w:tmpl w:val="0AC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51B64"/>
    <w:multiLevelType w:val="multilevel"/>
    <w:tmpl w:val="05C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16462">
    <w:abstractNumId w:val="8"/>
  </w:num>
  <w:num w:numId="2" w16cid:durableId="688534081">
    <w:abstractNumId w:val="7"/>
  </w:num>
  <w:num w:numId="3" w16cid:durableId="2042120962">
    <w:abstractNumId w:val="2"/>
  </w:num>
  <w:num w:numId="4" w16cid:durableId="2054039861">
    <w:abstractNumId w:val="6"/>
  </w:num>
  <w:num w:numId="5" w16cid:durableId="1632711932">
    <w:abstractNumId w:val="1"/>
  </w:num>
  <w:num w:numId="6" w16cid:durableId="2019651242">
    <w:abstractNumId w:val="9"/>
  </w:num>
  <w:num w:numId="7" w16cid:durableId="993147683">
    <w:abstractNumId w:val="3"/>
  </w:num>
  <w:num w:numId="8" w16cid:durableId="875771438">
    <w:abstractNumId w:val="10"/>
  </w:num>
  <w:num w:numId="9" w16cid:durableId="1214537702">
    <w:abstractNumId w:val="5"/>
  </w:num>
  <w:num w:numId="10" w16cid:durableId="2025471343">
    <w:abstractNumId w:val="4"/>
  </w:num>
  <w:num w:numId="11" w16cid:durableId="60453318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E3"/>
    <w:rsid w:val="000001E1"/>
    <w:rsid w:val="00005AEB"/>
    <w:rsid w:val="00036D9F"/>
    <w:rsid w:val="0004589F"/>
    <w:rsid w:val="00080F61"/>
    <w:rsid w:val="00084877"/>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7EF9"/>
    <w:rsid w:val="00231BD9"/>
    <w:rsid w:val="002367CB"/>
    <w:rsid w:val="002431D6"/>
    <w:rsid w:val="002519F6"/>
    <w:rsid w:val="0025331E"/>
    <w:rsid w:val="0026513F"/>
    <w:rsid w:val="00275173"/>
    <w:rsid w:val="00284D93"/>
    <w:rsid w:val="002979EF"/>
    <w:rsid w:val="002B2FAC"/>
    <w:rsid w:val="002C102D"/>
    <w:rsid w:val="002C7209"/>
    <w:rsid w:val="002D1F0F"/>
    <w:rsid w:val="002E456C"/>
    <w:rsid w:val="002E64A5"/>
    <w:rsid w:val="00303489"/>
    <w:rsid w:val="00307CC3"/>
    <w:rsid w:val="00313C8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85C"/>
    <w:rsid w:val="00414840"/>
    <w:rsid w:val="00423D55"/>
    <w:rsid w:val="00437CAA"/>
    <w:rsid w:val="0044776B"/>
    <w:rsid w:val="00451953"/>
    <w:rsid w:val="004669A2"/>
    <w:rsid w:val="0047064A"/>
    <w:rsid w:val="00471B94"/>
    <w:rsid w:val="00484A1B"/>
    <w:rsid w:val="0049760A"/>
    <w:rsid w:val="004A4926"/>
    <w:rsid w:val="004D0F78"/>
    <w:rsid w:val="004D3977"/>
    <w:rsid w:val="004D4A4B"/>
    <w:rsid w:val="004E2D94"/>
    <w:rsid w:val="004E51D2"/>
    <w:rsid w:val="004F1627"/>
    <w:rsid w:val="004F7DEA"/>
    <w:rsid w:val="00500950"/>
    <w:rsid w:val="00510E4F"/>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215CC"/>
    <w:rsid w:val="007217C3"/>
    <w:rsid w:val="007242B8"/>
    <w:rsid w:val="00742ABE"/>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20A8A"/>
    <w:rsid w:val="00853FD0"/>
    <w:rsid w:val="00856AAD"/>
    <w:rsid w:val="00861AD5"/>
    <w:rsid w:val="00866E41"/>
    <w:rsid w:val="008778DB"/>
    <w:rsid w:val="00886663"/>
    <w:rsid w:val="008B7BBA"/>
    <w:rsid w:val="008C15E7"/>
    <w:rsid w:val="008C3D6C"/>
    <w:rsid w:val="008D2731"/>
    <w:rsid w:val="008D2F60"/>
    <w:rsid w:val="008D619A"/>
    <w:rsid w:val="00900D67"/>
    <w:rsid w:val="009404C2"/>
    <w:rsid w:val="00941EB7"/>
    <w:rsid w:val="0095124E"/>
    <w:rsid w:val="00960068"/>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AE52E3"/>
    <w:rsid w:val="00B0267B"/>
    <w:rsid w:val="00B133C5"/>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3DA1"/>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7961"/>
    <w:rsid w:val="00CE31C0"/>
    <w:rsid w:val="00CF7F4A"/>
    <w:rsid w:val="00D00A07"/>
    <w:rsid w:val="00D0535E"/>
    <w:rsid w:val="00D10703"/>
    <w:rsid w:val="00D118F1"/>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52AB"/>
    <w:rsid w:val="00EA0232"/>
    <w:rsid w:val="00EA0258"/>
    <w:rsid w:val="00EB3790"/>
    <w:rsid w:val="00EC65DA"/>
    <w:rsid w:val="00ED2AE7"/>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F89D"/>
  <w15:chartTrackingRefBased/>
  <w15:docId w15:val="{3416A5A6-E79C-CE46-B5D1-B1C2CDDB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Bodoni 72" w:eastAsiaTheme="minorEastAsia" w:hAnsi="Bodoni 72"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52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2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52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52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52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52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52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52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2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52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52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52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52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52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52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2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2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52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52E3"/>
    <w:rPr>
      <w:i/>
      <w:iCs/>
      <w:color w:val="404040" w:themeColor="text1" w:themeTint="BF"/>
    </w:rPr>
  </w:style>
  <w:style w:type="paragraph" w:styleId="ListParagraph">
    <w:name w:val="List Paragraph"/>
    <w:basedOn w:val="Normal"/>
    <w:uiPriority w:val="34"/>
    <w:qFormat/>
    <w:rsid w:val="00AE52E3"/>
    <w:pPr>
      <w:ind w:left="720"/>
      <w:contextualSpacing/>
    </w:pPr>
  </w:style>
  <w:style w:type="character" w:styleId="IntenseEmphasis">
    <w:name w:val="Intense Emphasis"/>
    <w:basedOn w:val="DefaultParagraphFont"/>
    <w:uiPriority w:val="21"/>
    <w:qFormat/>
    <w:rsid w:val="00AE52E3"/>
    <w:rPr>
      <w:i/>
      <w:iCs/>
      <w:color w:val="0F4761" w:themeColor="accent1" w:themeShade="BF"/>
    </w:rPr>
  </w:style>
  <w:style w:type="paragraph" w:styleId="IntenseQuote">
    <w:name w:val="Intense Quote"/>
    <w:basedOn w:val="Normal"/>
    <w:next w:val="Normal"/>
    <w:link w:val="IntenseQuoteChar"/>
    <w:uiPriority w:val="30"/>
    <w:qFormat/>
    <w:rsid w:val="00AE5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2E3"/>
    <w:rPr>
      <w:i/>
      <w:iCs/>
      <w:color w:val="0F4761" w:themeColor="accent1" w:themeShade="BF"/>
    </w:rPr>
  </w:style>
  <w:style w:type="character" w:styleId="IntenseReference">
    <w:name w:val="Intense Reference"/>
    <w:basedOn w:val="DefaultParagraphFont"/>
    <w:uiPriority w:val="32"/>
    <w:qFormat/>
    <w:rsid w:val="00AE52E3"/>
    <w:rPr>
      <w:b/>
      <w:bCs/>
      <w:smallCaps/>
      <w:color w:val="0F4761" w:themeColor="accent1" w:themeShade="BF"/>
      <w:spacing w:val="5"/>
    </w:rPr>
  </w:style>
  <w:style w:type="paragraph" w:styleId="NormalWeb">
    <w:name w:val="Normal (Web)"/>
    <w:basedOn w:val="Normal"/>
    <w:uiPriority w:val="99"/>
    <w:semiHidden/>
    <w:unhideWhenUsed/>
    <w:rsid w:val="00AE52E3"/>
    <w:pPr>
      <w:spacing w:before="100" w:beforeAutospacing="1" w:after="100" w:afterAutospacing="1"/>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AE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E52E3"/>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AE52E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logg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2041</Words>
  <Characters>11637</Characters>
  <Application>Microsoft Office Word</Application>
  <DocSecurity>0</DocSecurity>
  <Lines>96</Lines>
  <Paragraphs>27</Paragraphs>
  <ScaleCrop>false</ScaleCrop>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2</cp:revision>
  <dcterms:created xsi:type="dcterms:W3CDTF">2026-06-23T23:44:00Z</dcterms:created>
  <dcterms:modified xsi:type="dcterms:W3CDTF">2026-06-23T23:50:00Z</dcterms:modified>
</cp:coreProperties>
</file>