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40A7070" w14:textId="77777777" w:rsidR="00EE0F88" w:rsidRPr="0039727A" w:rsidRDefault="00EE0F88" w:rsidP="00EE0F88">
      <w:pPr>
        <w:pStyle w:val="Title"/>
        <w:rPr>
          <w:rFonts w:ascii="Times New Roman" w:hAnsi="Times New Roman" w:cs="Times New Roman"/>
        </w:rPr>
      </w:pPr>
      <w:r w:rsidRPr="0039727A">
        <w:rPr>
          <w:rFonts w:ascii="Times New Roman" w:hAnsi="Times New Roman" w:cs="Times New Roman"/>
        </w:rPr>
        <w:t xml:space="preserve">Lecture </w:t>
      </w:r>
      <w:bookmarkStart w:id="0" w:name="Xaa41612257c4254b31d84d60a73c925736ed799"/>
      <w:r>
        <w:rPr>
          <w:rFonts w:ascii="Times New Roman" w:hAnsi="Times New Roman" w:cs="Times New Roman"/>
        </w:rPr>
        <w:t>Eight</w:t>
      </w:r>
    </w:p>
    <w:p w14:paraId="6F883C0C" w14:textId="77777777" w:rsidR="00EE0F88" w:rsidRPr="0039727A" w:rsidRDefault="00EE0F88" w:rsidP="00EE0F88">
      <w:pPr>
        <w:pStyle w:val="Subtitle"/>
        <w:rPr>
          <w:rFonts w:ascii="Times New Roman" w:hAnsi="Times New Roman" w:cs="Times New Roman"/>
          <w:i/>
          <w:iCs/>
          <w:spacing w:val="0"/>
          <w:sz w:val="52"/>
          <w:szCs w:val="52"/>
        </w:rPr>
      </w:pPr>
      <w:r w:rsidRPr="0039727A">
        <w:rPr>
          <w:rFonts w:ascii="Times New Roman" w:hAnsi="Times New Roman" w:cs="Times New Roman"/>
          <w:i/>
          <w:iCs/>
        </w:rPr>
        <w:t>Comparative AI Governance</w:t>
      </w:r>
    </w:p>
    <w:bookmarkEnd w:id="0"/>
    <w:p w14:paraId="09855C1E" w14:textId="2F8E323B" w:rsidR="00EE0F88" w:rsidRDefault="00EE0F88" w:rsidP="00EE0F88">
      <w:pPr>
        <w:pStyle w:val="Heading1"/>
        <w:rPr>
          <w:rFonts w:ascii="Times New Roman" w:eastAsia="Times New Roman" w:hAnsi="Times New Roman" w:cs="Times New Roman"/>
          <w:kern w:val="0"/>
          <w14:ligatures w14:val="none"/>
        </w:rPr>
      </w:pPr>
      <w:r>
        <w:rPr>
          <w:rFonts w:ascii="Times New Roman" w:hAnsi="Times New Roman" w:cs="Times New Roman"/>
        </w:rPr>
        <w:t>SUMMARY</w:t>
      </w:r>
    </w:p>
    <w:p w14:paraId="0EBE2DB1" w14:textId="77777777" w:rsidR="00EE0F88" w:rsidRDefault="00EE0F88" w:rsidP="004A4BFE">
      <w:pPr>
        <w:spacing w:before="100" w:beforeAutospacing="1" w:after="100" w:afterAutospacing="1"/>
        <w:rPr>
          <w:rFonts w:ascii="Times New Roman" w:eastAsia="Times New Roman" w:hAnsi="Times New Roman" w:cs="Times New Roman"/>
          <w:kern w:val="0"/>
          <w14:ligatures w14:val="none"/>
        </w:rPr>
      </w:pPr>
    </w:p>
    <w:p w14:paraId="595CFB51" w14:textId="77777777" w:rsidR="004A4BFE" w:rsidRPr="004A4BFE" w:rsidRDefault="004A4BFE" w:rsidP="004A4BFE">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A4BFE">
        <w:rPr>
          <w:rFonts w:ascii="Times New Roman" w:eastAsia="Times New Roman" w:hAnsi="Times New Roman" w:cs="Times New Roman"/>
          <w:b/>
          <w:bCs/>
          <w:kern w:val="0"/>
          <w:sz w:val="36"/>
          <w:szCs w:val="36"/>
          <w14:ligatures w14:val="none"/>
        </w:rPr>
        <w:t>Version 1: Human-Centered Cognitive Perspective</w:t>
      </w:r>
    </w:p>
    <w:p w14:paraId="5F223E3F"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This lecture presents comparative AI governance as a problem of human institutions, human judgment, and human vulnerability rather than as a purely technical issue. Its central claim is that the United States, the European Union, China, and the United Nations all use a shared vocabulary of “safe,” “secure,” “trustworthy,” and “beneficial” AI, yet they differ fundamentally in how they define the object of governance, distribute authority, and justify legitimacy.[</w:t>
      </w:r>
      <w:hyperlink r:id="rId4"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3FBADF56"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human-centered frame begins from the idea that AI is always embedded in social life. The lecture argues that AI is not only a model or a product but a system that affects work, education, public communication, security, rights, and institutional decision-making. From this perspective, governance must ask not just whether a system works technically, but how it shapes autonomy, responsibility, participation, and accountability in lived settings.[</w:t>
      </w:r>
      <w:hyperlink r:id="rId5"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7F16C805"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United States is described as treating AI primarily as an innovation market and strategic asset. Governance is fragmented across agencies, courts, states, procurement regimes, standards bodies, and private firms, with a general tendency toward ex post correction rather than comprehensive ex ante supervision. This gives the U.S. model strengths in flexibility, experimentation, and rapid innovation, but it also produces gaps, uneven rights protection, and heavy dependence on private governance.[</w:t>
      </w:r>
      <w:hyperlink r:id="rId6"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28046998"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European Union is presented as treating AI as a risk-bearing system that enters the internal market and must be made compatible with safety, transparency, accountability, and fundamental rights. The EU’s risk-based structure is legally ordered and lifecycle-oriented: it classifies systems, imposes duties before deployment, and extends obligations through monitoring, documentation, logging, and incident reporting. The lecture emphasizes that this framework is strong in rights protection and legal clarity, but vulnerable to complexity, slow adaptation, and paper compliance.[</w:t>
      </w:r>
      <w:hyperlink r:id="rId7"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C53B6C6"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 xml:space="preserve">China is described as treating AI as strategic infrastructure for socialist modernization, platform governance, data security, public opinion management, and national rejuvenation. The lecture emphasizes that Chinese AI governance is not reducible to privacy or product safety; it is broader and more integrated across cybersecurity, algorithmic recommendation, deep synthesis, generative AI, industrial policy, and national security. Its strengths lie in speed, coordination, </w:t>
      </w:r>
      <w:r w:rsidRPr="004A4BFE">
        <w:rPr>
          <w:rFonts w:ascii="Times New Roman" w:eastAsia="Times New Roman" w:hAnsi="Times New Roman" w:cs="Times New Roman"/>
          <w:kern w:val="0"/>
          <w14:ligatures w14:val="none"/>
        </w:rPr>
        <w:lastRenderedPageBreak/>
        <w:t>infrastructural thinking, and early attention to recommender systems and synthetic media, while its weaknesses lie in political control, opacity, constrained speech, and limited international trust.[</w:t>
      </w:r>
      <w:hyperlink r:id="rId8"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2979981"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United Nations is framed differently: not as a regulator in the narrow domestic sense, but as a site of global coordination, norm production, capacity-building, inclusion, and legitimacy. The lecture presents the UN’s role as especially important for countries that do not control frontier labs, hyperscale cloud systems, or advanced chip supply chains. The UN’s strengths are inclusiveness, development orientation, and scientific assessment, but its weaknesses are limited enforcement power, slower multilateral process, and the gap between universal principles and unequal capacity.[</w:t>
      </w:r>
      <w:hyperlink r:id="rId9"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CE8BFF5"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A major theme of the lecture is that the systems align more in language than in institutional design. All recognize safety, security, transparency, accountability, innovation, data governance, and the move from model governance to infrastructure governance. Yet they interpret these ideas differently. Safety can mean product safety, rights protection, public order, cybersecurity, or catastrophic-risk prevention; transparency can mean disclosure, documentation, filing, or global scientific knowledge-sharing; accountability can mean legal liability, supervisory control, or distributed responsibility across the AI stack.[</w:t>
      </w:r>
      <w:hyperlink r:id="rId10"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1818E888"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lecture also stresses that AI governance is increasingly about infrastructure rather than isolated models. Chips, cloud systems, compute, data centers, model weights, supply chains, open-source release, and cybersecurity now shape governance as much as the model itself. This shift matters because the same model can be a consumer service, a cyber tool, a productivity enhancer, and a security-sensitive asset. Governance therefore must address not only outputs, but the ecosystems that produce and distribute them.[</w:t>
      </w:r>
      <w:hyperlink r:id="rId11"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0E9D6AAC"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lecture identifies ten major regulatory challenges. These include defining the regulatory object, governing general-purpose AI, evaluating systems continuously, dealing with opacity, resolving data governance conflicts, assigning liability across multiple actors, building regulatory capacity, managing private power, deciding how to treat open models, and preventing regulatory arbitrage across borders. Each challenge is framed as a problem of institutional design rather than technical performance alone.[</w:t>
      </w:r>
      <w:hyperlink r:id="rId12"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81203FA"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future section extends the analysis beyond current chatbots to agents, compound systems, multimodal systems, embodied systems, delegated decision-making, AI-mediated institutions, synthetic information environments, geopolitical AI blocs, scientific infrastructure, and ubiquitous AI. The lecture’s point is that future AI will act more like infrastructure than like a standalone application. As that happens, governance will have to shift toward lifecycle oversight, system-level evaluation, institutional accountability, democratic legitimacy, global equity, and public-benefit orientation.[</w:t>
      </w:r>
      <w:hyperlink r:id="rId13"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762F7033"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 xml:space="preserve">The conclusion returns to the opening question of what AI is. The lecture answers that AI is politically meaningful only when placed into institutions. The final comparative lesson is that AI governance is not merely the governance of technology; it is the governance of power as it moves through technology. The U.S., EU, China, and UN all share the same vocabulary, but they </w:t>
      </w:r>
      <w:r w:rsidRPr="004A4BFE">
        <w:rPr>
          <w:rFonts w:ascii="Times New Roman" w:eastAsia="Times New Roman" w:hAnsi="Times New Roman" w:cs="Times New Roman"/>
          <w:kern w:val="0"/>
          <w14:ligatures w14:val="none"/>
        </w:rPr>
        <w:lastRenderedPageBreak/>
        <w:t>allocate authority differently among markets, rights, states, platforms, and global institutions.[</w:t>
      </w:r>
      <w:hyperlink r:id="rId14"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14F04154" w14:textId="46B07FA9" w:rsidR="004A4BFE" w:rsidRPr="004A4BFE" w:rsidRDefault="004A4BFE" w:rsidP="004A4BFE">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A4BFE">
        <w:rPr>
          <w:rFonts w:ascii="Times New Roman" w:eastAsia="Times New Roman" w:hAnsi="Times New Roman" w:cs="Times New Roman"/>
          <w:b/>
          <w:bCs/>
          <w:kern w:val="0"/>
          <w:sz w:val="36"/>
          <w:szCs w:val="36"/>
          <w14:ligatures w14:val="none"/>
        </w:rPr>
        <w:t>Version 2</w:t>
      </w:r>
      <w:r w:rsidR="0074493B">
        <w:rPr>
          <w:rFonts w:ascii="Times New Roman" w:eastAsia="Times New Roman" w:hAnsi="Times New Roman" w:cs="Times New Roman"/>
          <w:b/>
          <w:bCs/>
          <w:kern w:val="0"/>
          <w:sz w:val="36"/>
          <w:szCs w:val="36"/>
          <w14:ligatures w14:val="none"/>
        </w:rPr>
        <w:t>(a)</w:t>
      </w:r>
      <w:r w:rsidRPr="004A4BFE">
        <w:rPr>
          <w:rFonts w:ascii="Times New Roman" w:eastAsia="Times New Roman" w:hAnsi="Times New Roman" w:cs="Times New Roman"/>
          <w:b/>
          <w:bCs/>
          <w:kern w:val="0"/>
          <w:sz w:val="36"/>
          <w:szCs w:val="36"/>
          <w14:ligatures w14:val="none"/>
        </w:rPr>
        <w:t>: Machine-Quantum Perspective</w:t>
      </w:r>
    </w:p>
    <w:p w14:paraId="6006DD19"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From a machine-quantum perspective, the lecture can be read as a study of governance under uncertainty, distributed control, and multi-scalar coupling. AI is presented not as a single object but as a shifting system whose measurable properties depend on the institutional frame in which it is observed. The core argument is that the United States, European Union, China, and United Nations do not regulate the same “thing”; they construct different governance objects out of the same technological substrate.[</w:t>
      </w:r>
      <w:hyperlink r:id="rId15"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025D0105"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In this frame, the United States treats AI as an innovation market and strategic asset, a domain optimized for rapid adaptation, private capital, and ex post correction. The system is fragmented across many regulatory nodes, which produces resilience through flexibility but also uncertainty through dispersion. It is powerful because it can absorb novelty quickly; it is weak because feedback loops often activate only after harm has propagated through the system.[</w:t>
      </w:r>
      <w:hyperlink r:id="rId16"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4FCD6BC"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European Union treats AI as a risk-bearing system whose outputs must satisfy legal thresholds before entering the market and throughout deployment. This resembles a constrained control architecture: classify the object, assign duties, monitor behavior, log events, and intervene when risk thresholds are exceeded. The lecture presents this as a rights-conscious and procedurally rich model, but also one that can become computationally heavy, slow to update, and vulnerable to formal compliance without substantive control.[</w:t>
      </w:r>
      <w:hyperlink r:id="rId17"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32C6D3CD"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China is described as operating a development-security model in which AI is an infrastructural layer embedded in platform governance, industrial planning, public opinion control, data security, and national security. In machine-quantum terms, the Chinese model treats AI as a coupled system whose outputs must remain aligned with the broader state architecture. This gives it speed and coherence, but also introduces opacity, political constraint, and limits on open-ended exploration.[</w:t>
      </w:r>
      <w:hyperlink r:id="rId18"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10B8205D"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United Nations functions as a global coordination layer rather than an enforcement machine. It does not directly regulate the system components in the way states or regional blocs do; instead, it stabilizes common language, builds shared assessment capacity, and creates legitimacy for collective action. Its purpose is to reduce informational asymmetry across the global field, especially for states that lack frontier infrastructure, but its authority remains indirect and structurally limited.[</w:t>
      </w:r>
      <w:hyperlink r:id="rId19"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02BE4ECE"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lecture’s comparative logic depends on the distinction between vocabulary convergence and institutional divergence. All four governance systems endorse safety, security, transparency, accountability, innovation, and data governance. But those terms are not isomorphic: they map to different operational rules depending on whether the system is legal-bureaucratic, market-</w:t>
      </w:r>
      <w:r w:rsidRPr="004A4BFE">
        <w:rPr>
          <w:rFonts w:ascii="Times New Roman" w:eastAsia="Times New Roman" w:hAnsi="Times New Roman" w:cs="Times New Roman"/>
          <w:kern w:val="0"/>
          <w14:ligatures w14:val="none"/>
        </w:rPr>
        <w:lastRenderedPageBreak/>
        <w:t>fragmented, party-state coordinated, or multilateral. In this sense, the same semantic signal carries different regulatory weights in different domains.[</w:t>
      </w:r>
      <w:hyperlink r:id="rId20"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59E1DF18"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A major analytic move in the lecture is the transition from model governance to infrastructure governance. The relevant unit is no longer only a chatbot or foundation model, but a coupled stack of chips, compute, cloud, model weights, data pipelines, monitoring systems, interfaces, and downstream institutions. As AI becomes more agentic, multimodal, embodied, and embedded in decision systems, governance must address permissions, auditability, reversibility, lifecycle monitoring, and institutional responsibility rather than isolated model performance.[</w:t>
      </w:r>
      <w:hyperlink r:id="rId21"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493886A5"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lecture identifies ten persistent governance problems in this expanded field. These include object definition, general-purpose functionality, evaluation instability, opacity, data conflict, liability diffusion, limited regulatory capacity, private concentration, open-model tradeoffs, and cross-border arbitrage. Each is presented as a structural problem of distributed systems: responsibility spreads, evaluation degrades, and governance becomes a matter of managing interactions across layers rather than controlling one central unit.[</w:t>
      </w:r>
      <w:hyperlink r:id="rId22"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18923A24" w14:textId="77777777" w:rsidR="004A4BFE" w:rsidRP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future section describes a sequence of system transformations: from chatbots to agents, from single models to compound systems, from text to multimodal environments, from digital tools to embodied devices, from decision support to decision delegation, from outputs to AI-mediated institutions, from human-generated information environments to synthetic ones, from national systems to geopolitical blocs, from software to scientific infrastructure, and from scarce to ubiquitous AI. The machine-quantum implication is that governance must move from static classification to dynamic lifecycle control.[</w:t>
      </w:r>
      <w:hyperlink r:id="rId23"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3CCD3485" w14:textId="77777777" w:rsidR="004A4BFE" w:rsidRDefault="004A4BFE" w:rsidP="004A4BFE">
      <w:pPr>
        <w:spacing w:before="100" w:beforeAutospacing="1" w:after="100" w:afterAutospacing="1"/>
        <w:rPr>
          <w:rFonts w:ascii="Times New Roman" w:eastAsia="Times New Roman" w:hAnsi="Times New Roman" w:cs="Times New Roman"/>
          <w:kern w:val="0"/>
          <w14:ligatures w14:val="none"/>
        </w:rPr>
      </w:pPr>
      <w:r w:rsidRPr="004A4BFE">
        <w:rPr>
          <w:rFonts w:ascii="Times New Roman" w:eastAsia="Times New Roman" w:hAnsi="Times New Roman" w:cs="Times New Roman"/>
          <w:kern w:val="0"/>
          <w14:ligatures w14:val="none"/>
        </w:rPr>
        <w:t>The concluding thesis is that AI governance is the governance of power as it moves through technology. Each system sees a different projection of that power: the United States sees innovation and competition, the European Union sees rights and legality, China sees infrastructure and social order, and the United Nations sees global legitimacy and inequality. None of these projections is sufficient on its own, and the lecture’s final claim is that the future of AI governance depends on whether institutions can manage distributed power without mistaking semantic convergence for real alignment.[</w:t>
      </w:r>
      <w:hyperlink r:id="rId24" w:history="1">
        <w:r w:rsidRPr="004A4BFE">
          <w:rPr>
            <w:rFonts w:ascii="Times New Roman" w:eastAsia="Times New Roman" w:hAnsi="Times New Roman" w:cs="Times New Roman"/>
            <w:color w:val="0000FF"/>
            <w:kern w:val="0"/>
            <w:u w:val="single"/>
            <w14:ligatures w14:val="none"/>
          </w:rPr>
          <w:t>ppl-ai-file-upload.s3.amazonaws</w:t>
        </w:r>
      </w:hyperlink>
      <w:r w:rsidRPr="004A4BFE">
        <w:rPr>
          <w:rFonts w:ascii="Times New Roman" w:eastAsia="Times New Roman" w:hAnsi="Times New Roman" w:cs="Times New Roman"/>
          <w:kern w:val="0"/>
          <w14:ligatures w14:val="none"/>
        </w:rPr>
        <w:t>]</w:t>
      </w:r>
    </w:p>
    <w:p w14:paraId="333A91B3" w14:textId="77777777" w:rsidR="0074493B" w:rsidRDefault="0074493B" w:rsidP="0074493B">
      <w:pPr>
        <w:pStyle w:val="my-2"/>
      </w:pPr>
      <w:r>
        <w:t xml:space="preserve">Absolutely — here is a revised </w:t>
      </w:r>
      <w:r>
        <w:rPr>
          <w:rStyle w:val="Strong"/>
        </w:rPr>
        <w:t>machine-quantum perspective</w:t>
      </w:r>
      <w:r>
        <w:t xml:space="preserve"> summary that more fully centers quantum thinking throughout, while staying faithful to the lecture and slide material.</w:t>
      </w:r>
    </w:p>
    <w:p w14:paraId="6977A56F" w14:textId="78788654" w:rsidR="0074493B" w:rsidRPr="004A4BFE" w:rsidRDefault="0074493B" w:rsidP="0074493B">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4A4BFE">
        <w:rPr>
          <w:rFonts w:ascii="Times New Roman" w:eastAsia="Times New Roman" w:hAnsi="Times New Roman" w:cs="Times New Roman"/>
          <w:b/>
          <w:bCs/>
          <w:kern w:val="0"/>
          <w:sz w:val="36"/>
          <w:szCs w:val="36"/>
          <w14:ligatures w14:val="none"/>
        </w:rPr>
        <w:t>Version 2</w:t>
      </w:r>
      <w:r>
        <w:rPr>
          <w:rFonts w:ascii="Times New Roman" w:eastAsia="Times New Roman" w:hAnsi="Times New Roman" w:cs="Times New Roman"/>
          <w:b/>
          <w:bCs/>
          <w:kern w:val="0"/>
          <w:sz w:val="36"/>
          <w:szCs w:val="36"/>
          <w14:ligatures w14:val="none"/>
        </w:rPr>
        <w:t>(b)</w:t>
      </w:r>
      <w:r w:rsidRPr="004A4BFE">
        <w:rPr>
          <w:rFonts w:ascii="Times New Roman" w:eastAsia="Times New Roman" w:hAnsi="Times New Roman" w:cs="Times New Roman"/>
          <w:b/>
          <w:bCs/>
          <w:kern w:val="0"/>
          <w:sz w:val="36"/>
          <w:szCs w:val="36"/>
          <w14:ligatures w14:val="none"/>
        </w:rPr>
        <w:t>: Machine-Quantum Perspective</w:t>
      </w:r>
    </w:p>
    <w:p w14:paraId="007ED2F4" w14:textId="77777777" w:rsidR="0074493B" w:rsidRDefault="0074493B" w:rsidP="0074493B">
      <w:pPr>
        <w:pStyle w:val="my-2"/>
      </w:pPr>
      <w:r>
        <w:t>This lecture can be read as an exercise in quantum governance: not the governance of a stable object, but the governance of a field in which AI changes state depending on the institutional observer, the regulatory frame, and the social context in which it is measured. The central lesson is that AI is not a singular thing with one fixed meaning. It is a relational object whose governance properties shift across the United States, European Union, China, and the United Nations.</w:t>
      </w:r>
    </w:p>
    <w:p w14:paraId="1C6F9AA2" w14:textId="77777777" w:rsidR="0074493B" w:rsidRDefault="0074493B" w:rsidP="0074493B">
      <w:pPr>
        <w:pStyle w:val="my-2"/>
      </w:pPr>
      <w:r>
        <w:lastRenderedPageBreak/>
        <w:t>From a quantum perspective, the lecture emphasizes superposition rather than singularity. AI exists simultaneously as an innovation market, a risk-bearing system, a strategic infrastructure, and a global coordination problem. Each governance regime collapses that superposition differently. The United States tends to observe AI through the lens of innovation, competitiveness, and strategic leadership. The European Union collapses AI into a regulated risk object governed through legal classification and procedural control. China treats AI as infrastructural power embedded in state strategy, platform discipline, and social order. The United Nations frames AI as a global field of coordination, legitimacy, and capacity-building. The same technological substrate thus yields different governance outcomes depending on the frame of observation.</w:t>
      </w:r>
    </w:p>
    <w:p w14:paraId="008BF0FA" w14:textId="77777777" w:rsidR="0074493B" w:rsidRDefault="0074493B" w:rsidP="0074493B">
      <w:pPr>
        <w:pStyle w:val="my-2"/>
      </w:pPr>
      <w:r>
        <w:t>The lecture’s comparative point is that language converges even when governance logics diverge. All systems speak in terms of safe, secure, trustworthy, beneficial, or responsible AI. But this shared vocabulary does not mean the systems are aligned. In quantum terms, the vocabulary is the apparent common signal; the institutional design is the hidden state vector. Safety may mean consumer protection in one setting, rights protection in another, public order in another, and catastrophic-risk prevention in another. Transparency, accountability, and innovation likewise shift meaning depending on the governing architecture.</w:t>
      </w:r>
    </w:p>
    <w:p w14:paraId="13A867AC" w14:textId="77777777" w:rsidR="0074493B" w:rsidRDefault="0074493B" w:rsidP="0074493B">
      <w:pPr>
        <w:pStyle w:val="my-2"/>
      </w:pPr>
      <w:r>
        <w:t>The U.S. model is presented as probabilistic and distributed. It does not operate through one comprehensive federal AI law, but through a field of agencies, courts, states, standards bodies, procurement systems, and private firms. Governance is ex post and reactive more often than not. This makes the system highly adaptive and innovation-friendly, but also fragmented and dependent on private actors to detect and manage risk. The quantum problem here is dispersion: responsibility is spread across many nodes, and governance often depends on after-the-fact correction rather than pre-commitment.</w:t>
      </w:r>
    </w:p>
    <w:p w14:paraId="3E9E0033" w14:textId="77777777" w:rsidR="0074493B" w:rsidRDefault="0074493B" w:rsidP="0074493B">
      <w:pPr>
        <w:pStyle w:val="my-2"/>
      </w:pPr>
      <w:r>
        <w:t>The EU model is more like a measurement apparatus. It classifies AI systems by risk, imposes ex ante duties, and extends obligations across the lifecycle. It seeks to stabilize uncertainty by requiring documentation, monitoring, human oversight, logging, conformity, and transparency. The strength of the model is that it makes AI legible to law. Its weakness is that classification can become rigid, compliance can become formalistic, and evolving systems can outrun legal categories. General-purpose AI intensifies this problem because a model’s behavior depends on downstream use, meaning the object being regulated is never fully fixed at the moment of measurement.</w:t>
      </w:r>
    </w:p>
    <w:p w14:paraId="4E7A6F88" w14:textId="77777777" w:rsidR="0074493B" w:rsidRDefault="0074493B" w:rsidP="0074493B">
      <w:pPr>
        <w:pStyle w:val="my-2"/>
      </w:pPr>
      <w:r>
        <w:t>China appears in the lecture as a governance system that treats AI as infrastructure in a coupled political and technical order. It integrates algorithms, data, platforms, security, content control, industrial planning, and national development into a single strategic field. In quantum terms, China does not merely observe AI from outside; it entangles AI with broader state objectives. This produces speed, coordination, and infrastructural awareness, but it also ties governance to censorship, opacity, and political discipline. The result is a system in which control and capability are deeply linked.</w:t>
      </w:r>
    </w:p>
    <w:p w14:paraId="4A15876D" w14:textId="77777777" w:rsidR="0074493B" w:rsidRDefault="0074493B" w:rsidP="0074493B">
      <w:pPr>
        <w:pStyle w:val="my-2"/>
      </w:pPr>
      <w:r>
        <w:t xml:space="preserve">The United Nations functions as a kind of global coherence layer. It cannot force collapse of the system through direct enforcement, but it can establish shared reference points, create scientific </w:t>
      </w:r>
      <w:r>
        <w:lastRenderedPageBreak/>
        <w:t>assessment, build capacity, and expand inclusion for states outside the frontier AI ecosystem. Its role is especially important because many countries are affected by AI systems they do not build or control. The UN’s limitation is that it can convene and legitimate, but not directly enforce. It stabilizes discourse more than it regulates conduct.</w:t>
      </w:r>
    </w:p>
    <w:p w14:paraId="36F94454" w14:textId="77777777" w:rsidR="0074493B" w:rsidRDefault="0074493B" w:rsidP="0074493B">
      <w:pPr>
        <w:pStyle w:val="my-2"/>
      </w:pPr>
      <w:r>
        <w:t>The lecture then identifies the core governance challenges of a quantum AI world. The object of regulation is unstable: should law regulate models, systems, providers, deployers, platforms, users, data, outputs, or harms? Evaluation is uncertain because benchmarks can be gamed, become stale, or fail to capture real-world behavior. Opacity creates problems of explanation, interpretation, and accountability. Data governance becomes more difficult as personal data, copyrighted material, synthetic content, and cross-border flows are mixed into model systems. Liability becomes diffuse because many actors contribute to the same output. Private power intensifies because a small number of firms control infrastructure, cloud systems, and frontier models. Open models produce a further quantum tension between democratization and misuse. Regulatory arbitrage allows actors to shift training, hosting, and deployment across jurisdictions.</w:t>
      </w:r>
    </w:p>
    <w:p w14:paraId="13BF1B4B" w14:textId="77777777" w:rsidR="0074493B" w:rsidRDefault="0074493B" w:rsidP="0074493B">
      <w:pPr>
        <w:pStyle w:val="my-2"/>
      </w:pPr>
      <w:r>
        <w:t>The future trajectory described by the lecture is one of increasing complexity and entanglement. AI moves from chatbots to agents, from single models to compound systems, from text to multimodal environments, and from digital tools to embodied systems in robots, vehicles, hospitals, and public institutions. As AI becomes embedded in workflows and institutions, governance can no longer focus only on outputs. It must address permissions, reversibility, auditability, institutional legitimacy, and distributed responsibility. The system becomes less like a tool and more like an environment.</w:t>
      </w:r>
    </w:p>
    <w:p w14:paraId="2586B861" w14:textId="77777777" w:rsidR="0074493B" w:rsidRDefault="0074493B" w:rsidP="0074493B">
      <w:pPr>
        <w:pStyle w:val="my-2"/>
      </w:pPr>
      <w:r>
        <w:t>The lecture’s concluding insight, translated into quantum language, is that AI governance is governance of power under conditions of uncertainty, distributed causality, and institutional entanglement. No single regime resolves the problem because each system measures a different aspect of the phenomenon. The U.S. sees innovation, the EU sees rights, China sees infrastructure, and the UN sees global legitimacy. Quantum governance begins from the premise that all of these are true at once, and that responsible regulation depends on understanding how they interact rather than pretending any one perspective exhausts the field.</w:t>
      </w:r>
    </w:p>
    <w:p w14:paraId="44A5C43F" w14:textId="3960F671" w:rsidR="009629DC" w:rsidRDefault="009629DC" w:rsidP="0074493B">
      <w:pPr>
        <w:pStyle w:val="my-2"/>
      </w:pPr>
      <w:r w:rsidRPr="009629DC">
        <w:t>What emerges are deeply layered human-machine interactions that reflect the conceptual and perception boxes we are creating for ourselves, one in which the difference between assistance and authority collapses in an unstable environment in which humans and machine  are both producers and consumers of each other in their interaction. This applies not just in the human-machine cognitive ordering, but, long before that, in the preparation for the decay in that emerging relationship marked by the quite conscious effort to corrupt and then degrade the very same reflexive relationship among humans. Humans are no longer taught, and indeed are encouraged not to, distinguish between assistance and authority. Though that is an old human story (and one centering on the corruption of systems and modes of perception the genealogy of which is quite old); but one that could be corrected by inter-subjective relationships among peers. That is no longer possible where human-machine inter-subjectivity must also break cognitive barriers (belief-computation-quantum thinking). For that to become effective one must start with a translation function that is not yet operational, the lesson from the human machine discussion in Lecture 1A. </w:t>
      </w:r>
    </w:p>
    <w:p w14:paraId="51E6A46F" w14:textId="77777777" w:rsidR="0074493B" w:rsidRDefault="0074493B" w:rsidP="004A4BFE">
      <w:pPr>
        <w:spacing w:before="100" w:beforeAutospacing="1" w:after="100" w:afterAutospacing="1"/>
        <w:rPr>
          <w:rFonts w:ascii="Times New Roman" w:eastAsia="Times New Roman" w:hAnsi="Times New Roman" w:cs="Times New Roman"/>
          <w:kern w:val="0"/>
          <w14:ligatures w14:val="none"/>
        </w:rPr>
      </w:pPr>
    </w:p>
    <w:p w14:paraId="4733833B" w14:textId="77777777" w:rsidR="0074493B" w:rsidRPr="004A4BFE" w:rsidRDefault="0074493B" w:rsidP="004A4BFE">
      <w:pPr>
        <w:spacing w:before="100" w:beforeAutospacing="1" w:after="100" w:afterAutospacing="1"/>
        <w:rPr>
          <w:rFonts w:ascii="Times New Roman" w:eastAsia="Times New Roman" w:hAnsi="Times New Roman" w:cs="Times New Roman"/>
          <w:kern w:val="0"/>
          <w14:ligatures w14:val="none"/>
        </w:rPr>
      </w:pPr>
    </w:p>
    <w:p w14:paraId="08C267C7" w14:textId="77777777" w:rsidR="004F1627" w:rsidRDefault="004F1627"/>
    <w:sectPr w:rsidR="004F1627"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FE"/>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4D5"/>
    <w:rsid w:val="003F085C"/>
    <w:rsid w:val="00423D55"/>
    <w:rsid w:val="00437CAA"/>
    <w:rsid w:val="0044776B"/>
    <w:rsid w:val="00451953"/>
    <w:rsid w:val="004669A2"/>
    <w:rsid w:val="0047064A"/>
    <w:rsid w:val="00471B94"/>
    <w:rsid w:val="00484A1B"/>
    <w:rsid w:val="0049760A"/>
    <w:rsid w:val="004A4926"/>
    <w:rsid w:val="004A4BFE"/>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215CC"/>
    <w:rsid w:val="007217C3"/>
    <w:rsid w:val="007242B8"/>
    <w:rsid w:val="00742ABE"/>
    <w:rsid w:val="0074493B"/>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629DC"/>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3DA1"/>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0F88"/>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10F0"/>
  <w15:chartTrackingRefBased/>
  <w15:docId w15:val="{2E128582-25A7-D14C-9494-7DD69E8D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93B"/>
  </w:style>
  <w:style w:type="paragraph" w:styleId="Heading1">
    <w:name w:val="heading 1"/>
    <w:basedOn w:val="Normal"/>
    <w:next w:val="Normal"/>
    <w:link w:val="Heading1Char"/>
    <w:uiPriority w:val="9"/>
    <w:qFormat/>
    <w:rsid w:val="004A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4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4BF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4BF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4BF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4BF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B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B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4B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4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4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4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4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4BF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A4B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4BFE"/>
    <w:rPr>
      <w:i/>
      <w:iCs/>
      <w:color w:val="404040" w:themeColor="text1" w:themeTint="BF"/>
    </w:rPr>
  </w:style>
  <w:style w:type="paragraph" w:styleId="ListParagraph">
    <w:name w:val="List Paragraph"/>
    <w:basedOn w:val="Normal"/>
    <w:uiPriority w:val="34"/>
    <w:qFormat/>
    <w:rsid w:val="004A4BFE"/>
    <w:pPr>
      <w:ind w:left="720"/>
      <w:contextualSpacing/>
    </w:pPr>
  </w:style>
  <w:style w:type="character" w:styleId="IntenseEmphasis">
    <w:name w:val="Intense Emphasis"/>
    <w:basedOn w:val="DefaultParagraphFont"/>
    <w:uiPriority w:val="21"/>
    <w:qFormat/>
    <w:rsid w:val="004A4BFE"/>
    <w:rPr>
      <w:i/>
      <w:iCs/>
      <w:color w:val="0F4761" w:themeColor="accent1" w:themeShade="BF"/>
    </w:rPr>
  </w:style>
  <w:style w:type="paragraph" w:styleId="IntenseQuote">
    <w:name w:val="Intense Quote"/>
    <w:basedOn w:val="Normal"/>
    <w:next w:val="Normal"/>
    <w:link w:val="IntenseQuoteChar"/>
    <w:uiPriority w:val="30"/>
    <w:qFormat/>
    <w:rsid w:val="004A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BFE"/>
    <w:rPr>
      <w:i/>
      <w:iCs/>
      <w:color w:val="0F4761" w:themeColor="accent1" w:themeShade="BF"/>
    </w:rPr>
  </w:style>
  <w:style w:type="character" w:styleId="IntenseReference">
    <w:name w:val="Intense Reference"/>
    <w:basedOn w:val="DefaultParagraphFont"/>
    <w:uiPriority w:val="32"/>
    <w:qFormat/>
    <w:rsid w:val="004A4BFE"/>
    <w:rPr>
      <w:b/>
      <w:bCs/>
      <w:smallCaps/>
      <w:color w:val="0F4761" w:themeColor="accent1" w:themeShade="BF"/>
      <w:spacing w:val="5"/>
    </w:rPr>
  </w:style>
  <w:style w:type="paragraph" w:customStyle="1" w:styleId="my-2">
    <w:name w:val="my-2"/>
    <w:basedOn w:val="Normal"/>
    <w:rsid w:val="004A4BF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A4BFE"/>
    <w:rPr>
      <w:color w:val="0000FF"/>
      <w:u w:val="single"/>
    </w:rPr>
  </w:style>
  <w:style w:type="character" w:styleId="Strong">
    <w:name w:val="Strong"/>
    <w:basedOn w:val="DefaultParagraphFont"/>
    <w:uiPriority w:val="22"/>
    <w:qFormat/>
    <w:rsid w:val="007449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3"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8"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7"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2"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7"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0"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 Type="http://schemas.openxmlformats.org/officeDocument/2006/relationships/styles" Target="styles.xml"/><Relationship Id="rId6"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1"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4"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5"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5"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3"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0"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9"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4"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9" Type="http://schemas.openxmlformats.org/officeDocument/2006/relationships/hyperlink" Target="https://ppl-ai-file-upload.s3.amazonaws.com/web/direct-files/attachments/1442713107/f32829a0-c6bd-4244-990c-a955681a3494/9-Lecture-Nine-Shanghai-Jiaotong-AllbrightLawFirm.pptx?AWSAccessKeyId=ASIA2F3EMEYEZ5BVBBSM&amp;Signature=G9TWvmSEQYlL41s2Nsn%2Fsu7hBzY%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14"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 Id="rId22" Type="http://schemas.openxmlformats.org/officeDocument/2006/relationships/hyperlink" Target="https://ppl-ai-file-upload.s3.amazonaws.com/web/direct-files/attachments/1442713107/5bbb554e-9363-4b1a-9304-acc4c894de8e/Lecture-Eight.docx?AWSAccessKeyId=ASIA2F3EMEYEZ5BVBBSM&amp;Signature=uUm5zWAPcS2vgu5kcw3dzT7wKS0%3D&amp;x-amz-security-token=IQoJb3JpZ2luX2VjEEQaCXVzLWVhc3QtMSJIMEYCIQCYtJhqClsixkJRgbG9Fq6rqXgSwsVwbBggJswKj8s8pQIhAPXKAHwHO%2BL1kVv3hYu4UtKJI6C8mEa0WFpmskhNOXC1KvMECA0QARoMNjk5NzUzMzA5NzA1Igyo5LROP5PEPNu6x8cq0ASATe%2BzOVNNd8zWxdf63tar9FJkfHZcl4K86umLHURjvg6PtmGd%2Fj%2BlVNdJznG3E9w0o%2FLdlAEx9hyYSi%2FaTqzddH%2FHJ%2F31YJvrgwg%2FzzcMTwUsbMPPaL8U2HzVihn18WRjjyQvqIMmz7MqV8sTzzNe2l0tfvo8OGhNPeNG%2FvNEISlHMZ%2By6kztcujoYFDjN0Ch4qqvBVst91rEHzv%2BQkkv9iDoOTLrBvY8THM6sEAxWnnzWgeIqCEUUAZ0sOmNhJSMD8xl2kiPf18%2BCKUrQaWzKOgT79rwr1i96s7MJRJ6niqu7HRG6CZuOdTilKw1RuTBf5GQfAshbgcuSABJA%2B2cCqGbxje2jpDykSHllIZpF%2BtoybLi4xIL30t6uoxtMlHGkqhnuheJ5Elr7g66KoXQm9C1YqyVv1XBdeaA%2FNZQLfe6x3zYT5vasz%2Bg4IofCAEhbz5kagrBRNrltZte9Pqe4mfrBPA6Nf3dWRIG4zugWXUAxXnUH2%2BZn18AHxMmYWTszo7nMAIeL%2FQOA4VfOUl8U8AcEPoEdX1DiU8zsGvc8uOrK6dUPrxb6XKVkpXfdAOtCwWDxbyTS%2BWLZnWnhL5jEZnWD5xFa8kNbfF%2BQJV4noK%2B1wlGV5Qfx6l0WNqcLnnlRntsk23mP4Z3Yc5BoSsW7pvh8UjGufabF9hshY8P8h0fFsr2wR6Tx72UsPrFXpxFR4j1kllAvm%2FNkyovA4r7uksrlHQOcSTeYnHPgG4Va9Vy5PTuYWvVqYTb9ELhUoxri7qrKCEvBjIqX4N45iv4MISd5tEGOpcBX11DwXPkTnjnrLbW8g938a%2FW%2BjR65W%2ByJBpuJIsOcUGO4cti1nLsqAVPFYYPGS7x91aYuV2NZZ0lgVwFq7XPn1PryEAxqgKxzy%2Fn4CcEcS5S0UbaNul8jnQUZSyKaoOLnNzuCFzeaweC2HUIZpYAxWEPfffpGz%2FrepDtvxxpPfHFiToDS89kI00s8bvARJT175EulGe7Tw%3D%3D&amp;Expires=178216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7830</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2</cp:revision>
  <dcterms:created xsi:type="dcterms:W3CDTF">2026-06-22T20:03:00Z</dcterms:created>
  <dcterms:modified xsi:type="dcterms:W3CDTF">2026-06-22T21:44:00Z</dcterms:modified>
</cp:coreProperties>
</file>