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DD3E" w14:textId="3646CA25" w:rsidR="004F1627" w:rsidRPr="004935BE" w:rsidRDefault="004935BE">
      <w:pPr>
        <w:rPr>
          <w:sz w:val="32"/>
          <w:szCs w:val="32"/>
        </w:rPr>
      </w:pPr>
      <w:r w:rsidRPr="004935BE">
        <w:rPr>
          <w:sz w:val="32"/>
          <w:szCs w:val="32"/>
        </w:rPr>
        <w:t>Lecture 4 The “Rights State”—The European Union Approach</w:t>
      </w:r>
    </w:p>
    <w:p w14:paraId="26E8CF1A" w14:textId="77777777" w:rsidR="004935BE" w:rsidRDefault="004935BE"/>
    <w:p w14:paraId="1BDA1861" w14:textId="77777777" w:rsidR="00316764" w:rsidRDefault="00316764" w:rsidP="00316764">
      <w:r>
        <w:t>**Executive Summary: The European Union’s Risk-Based Supervisory Governance of Artificial Intelligence**</w:t>
      </w:r>
    </w:p>
    <w:p w14:paraId="18E603A1" w14:textId="77777777" w:rsidR="00316764" w:rsidRDefault="00316764" w:rsidP="00316764"/>
    <w:p w14:paraId="4B25E86B" w14:textId="77777777" w:rsidR="00316764" w:rsidRDefault="00316764" w:rsidP="00316764">
      <w:r>
        <w:t xml:space="preserve">The European Union has developed one of the most ambitious and structurally coherent frameworks for the governance of artificial intelligence. At its center stands the Artificial Intelligence Act, a risk-based regulation that classifies AI systems according to their potential impacts on health, safety, fundamental rights, and the functioning of the internal market. This instrument operates alongside and in coordination with other foundational measures, including the General Data Protection Regulation (GDPR), which addresses data privacy and automated individual decision-making; the Digital Markets Act (DMA), which disciplines major technology gatekeepers to preserve competitive conditions; and the Digital Services Act (DSA), which imposes obligations of safety and accountability on online platforms and intermediaries. </w:t>
      </w:r>
    </w:p>
    <w:p w14:paraId="08521BCE" w14:textId="77777777" w:rsidR="00316764" w:rsidRDefault="00316764" w:rsidP="00316764"/>
    <w:p w14:paraId="51015386" w14:textId="77777777" w:rsidR="00316764" w:rsidRDefault="00316764" w:rsidP="00316764">
      <w:r>
        <w:t>The EU approach transcends narrow technology policy. It reflects a distinctive European regulatory imagination in which markets are constituted and disciplined through law, high-impact systems are subjected to continuous supervision, and technological trajectories are required to remain compatible with the Union’s commitments to fundamental rights. The central thesis of the lecture is that the EU constructs AI as an inherently risk-bearing system that must be rendered legally legible prior to and throughout its deployment. This legibility is achieved by systematic inquiry into an AI system’s category, its provider and deployer, the risks it generates, the quality of its documentation, the adequacy of human oversight mechanisms, and the capacity of supervisory authorities to enforce compliance.</w:t>
      </w:r>
    </w:p>
    <w:p w14:paraId="3AEE2388" w14:textId="77777777" w:rsidR="00316764" w:rsidRDefault="00316764" w:rsidP="00316764"/>
    <w:p w14:paraId="5CD5E8CE" w14:textId="77777777" w:rsidR="00316764" w:rsidRDefault="00316764" w:rsidP="00316764">
      <w:r>
        <w:t>This model stands in deliberate contrast to the United States’ monitored market governance described in the preceding lecture. Where the U.S. system typically translates emergent AI harms into existing legal categories after deployment—relying on a diffuse array of agencies, litigation, procurement policies, standards bodies, and state-level measures—the EU seeks to establish an ex ante and lifecycle-oriented governance architecture. Rather than waiting for harm to materialize, the EU framework classifies risk, allocates duties across actors, and demands affirmative evidence of control. Both systems pursue innovation, safety, and rights protection, yet they organize these objectives through fundamentally different institutional logics. The U.S. approach remains fragmented; the EU model is deliberately formalized and harmonized.</w:t>
      </w:r>
    </w:p>
    <w:p w14:paraId="1550FCDB" w14:textId="77777777" w:rsidR="00316764" w:rsidRDefault="00316764" w:rsidP="00316764"/>
    <w:p w14:paraId="5F01251D" w14:textId="77777777" w:rsidR="00316764" w:rsidRDefault="00316764" w:rsidP="00316764">
      <w:r>
        <w:t>The EU regulatory architecture identifies prohibited practices, high-risk systems, transparency obligations, and specific duties for general-purpose AI models. It distinguishes among providers (who develop or place systems on the market), deployers (who use them under their authority), importers, distributors, and other actors. Obligations encompass risk management, data governance, technical documentation, logging, human oversight, accuracy, robustness, cybersecurity, post-market monitoring, and incident reporting. Beyond its character as statute, the AI Act embodies a theory of governance. It presumes that AI systems can and should be classified, documented, supervised, and controlled across their entire lifecycle, treating legal compliance as an intrinsic design requirement rather than an afterthought.</w:t>
      </w:r>
    </w:p>
    <w:p w14:paraId="49F9B548" w14:textId="77777777" w:rsidR="00316764" w:rsidRDefault="00316764" w:rsidP="00316764"/>
    <w:p w14:paraId="0BAC6CA4" w14:textId="77777777" w:rsidR="00316764" w:rsidRDefault="00316764" w:rsidP="00316764">
      <w:r>
        <w:lastRenderedPageBreak/>
        <w:t>This imagination manifests in the EU’s longstanding practice of conditioning market access on satisfaction of legal criteria—a pattern evident in product safety, data protection, consumer law, competition policy, and platform regulation. For AI, the decisive question is not merely whether harm has occurred but whether a system may lawfully be placed on the market or put into service, and under what conditions. The framework is usefully described as combining product-safety logics with fundamental-rights supervision. The former appears in requirements for conformity assessment, technical documentation, robustness, and market surveillance; the latter surfaces in protections against discrimination, inappropriate biometric identification, and risks in sensitive domains such as employment, education, public services, law enforcement, and migration.</w:t>
      </w:r>
    </w:p>
    <w:p w14:paraId="70D08F1D" w14:textId="77777777" w:rsidR="00316764" w:rsidRDefault="00316764" w:rsidP="00316764"/>
    <w:p w14:paraId="0C0F4CF1" w14:textId="77777777" w:rsidR="00316764" w:rsidRDefault="00316764" w:rsidP="00316764">
      <w:r>
        <w:t>Central to the architecture is the risk pyramid. Prohibited practices occupy the apex—uses deemed incompatible with EU values or intolerably dangerous, including certain manipulative or exploitative techniques, forms of social scoring, applications targeting vulnerable groups, and specified biometric practices, subject to defined exceptions. These prohibitions express the EU’s rights-based orientation: some risks cannot be mitigated through documentation or oversight; they offend core commitments to autonomy, dignity, and non-discrimination.</w:t>
      </w:r>
    </w:p>
    <w:p w14:paraId="42076157" w14:textId="77777777" w:rsidR="00316764" w:rsidRDefault="00316764" w:rsidP="00316764"/>
    <w:p w14:paraId="302E0B64" w14:textId="77777777" w:rsidR="00316764" w:rsidRDefault="00316764" w:rsidP="00316764">
      <w:r>
        <w:t>Below the prohibitions lie high-risk AI systems, the operational core of the regime. These systems—deployed in employment, education, critical infrastructure, law enforcement, migration, and access to essential services—are permitted but subjected to stringent obligations. When AI supports consequential decisions, providers and deployers must demonstrate control through a comprehensive lifecycle approach: risk management by design, data governance, technical documentation, automated logging, human oversight mechanisms, standards for accuracy and robustness, cybersecurity safeguards, post-market monitoring, incident reporting, and a supporting quality management system. This proactive stance marks a sharp divergence from U.S. tendencies toward reactive enforcement.</w:t>
      </w:r>
    </w:p>
    <w:p w14:paraId="7177CB6C" w14:textId="77777777" w:rsidR="00316764" w:rsidRDefault="00316764" w:rsidP="00316764"/>
    <w:p w14:paraId="1BC3F51C" w14:textId="77777777" w:rsidR="00316764" w:rsidRDefault="00316764" w:rsidP="00316764">
      <w:r>
        <w:t>The distinction between provider and deployer is structurally significant. Providers bear responsibility for design, intended purpose, and foundational compliance; deployers manage contextual application, suitability for specific populations, and operational oversight. This allocation seeks to prevent accountability gaps in which each actor deflects responsibility onto the other. In the example of an AI hiring tool, the vendor ensures technical compliance while the employer ensures appropriate deployment, monitoring, and respect for worker rights.</w:t>
      </w:r>
    </w:p>
    <w:p w14:paraId="479EE4D9" w14:textId="77777777" w:rsidR="00316764" w:rsidRDefault="00316764" w:rsidP="00316764"/>
    <w:p w14:paraId="35BE4315" w14:textId="77777777" w:rsidR="00316764" w:rsidRDefault="00316764" w:rsidP="00316764">
      <w:r>
        <w:t>General-purpose AI models and foundation models presented a conceptual challenge to the originally use-case-oriented risk model. Large language or multimodal systems resist neat classification because they serve as adaptable infrastructure rather than singular applications. The AI Act therefore imposes upstream obligations on such models, with heightened requirements for those presenting systemic risk, including technical documentation, downstream information flows, evaluation, risk mitigation, and incident reporting. These rules represent an evolution in EU thinking, acknowledging the infrastructural character of frontier models while raising enduring questions: measurement of systemic risk, treatment of open-source systems, disclosure limits balancing security and transparency, and responsibility division between upstream providers and downstream deployers.</w:t>
      </w:r>
    </w:p>
    <w:p w14:paraId="5F2045D5" w14:textId="77777777" w:rsidR="00316764" w:rsidRDefault="00316764" w:rsidP="00316764"/>
    <w:p w14:paraId="7423E7F9" w14:textId="77777777" w:rsidR="00316764" w:rsidRDefault="00316764" w:rsidP="00316764">
      <w:r>
        <w:lastRenderedPageBreak/>
        <w:t>Transparency obligations apply to lower-risk systems, requiring disclosure when individuals interact with chatbots, encounter synthetic content, or are subject to emotion recognition or biometric categorization. Such measures address the capacity of AI to generate misleading impressions of humanity, authenticity, neutrality, or objectivity. Yet the framework recognizes transparency’s limitations: disclosure alone may not prevent deception or empower meaningful contestation, particularly for high-risk applications where stronger controls are mandated.</w:t>
      </w:r>
    </w:p>
    <w:p w14:paraId="2087355E" w14:textId="77777777" w:rsidR="00316764" w:rsidRDefault="00316764" w:rsidP="00316764"/>
    <w:p w14:paraId="7E171F00" w14:textId="77777777" w:rsidR="00316764" w:rsidRDefault="00316764" w:rsidP="00316764">
      <w:r>
        <w:t>A notable innovation is the emphasis on AI literacy. Providers and deployers must ensure that relevant personnel possess sufficient understanding of AI systems, calibrated to context, technical background, and role. This requirement underscores that effective governance cannot rely solely on technical or documentary controls; it demands institutional competence. Human oversight is meaningful only when humans comprehend system limitations. AI literacy thus contributes to both operational integrity and public legitimacy, mitigating risks of over-reliance or unexamined adoption.</w:t>
      </w:r>
    </w:p>
    <w:p w14:paraId="580D4A9E" w14:textId="77777777" w:rsidR="00316764" w:rsidRDefault="00316764" w:rsidP="00316764"/>
    <w:p w14:paraId="10F486C3" w14:textId="77777777" w:rsidR="00316764" w:rsidRDefault="00316764" w:rsidP="00316764">
      <w:r>
        <w:t>Implementation proceeds on a phased timeline. Core provisions, definitions, AI literacy requirements, and prohibitions took effect in February 2025. Governance structures and general-purpose AI obligations followed in August 2025. Most high-risk and transparency rules apply from August 2026, with certain embedded systems phased in later, targeting full application by August 2027. This staging reflects the recognition that successful regulation requires more than statutory text: competent authorities at member-state and EU levels, harmonized standards, compliance programs, regulatory sandboxes, and enforcement capacity must mature. The gap between legislative ambition and institutional readiness constitutes a central implementation challenge.</w:t>
      </w:r>
    </w:p>
    <w:p w14:paraId="0FE2A7E2" w14:textId="77777777" w:rsidR="00316764" w:rsidRDefault="00316764" w:rsidP="00316764"/>
    <w:p w14:paraId="054F2FB2" w14:textId="77777777" w:rsidR="00316764" w:rsidRDefault="00316764" w:rsidP="00316764">
      <w:r>
        <w:t>The EU model offers notable strengths. It provides regulatory unity across the internal market, scales obligations to risk, embeds ex ante controls, centers fundamental rights, and leverages the “Brussels effect” whereby global operators often align practices to EU standards for efficiency. At the same time, it faces significant weaknesses. Classification decisions are contestable and complex, compliance burdens may weigh heavily on smaller enterprises, documentation risks becoming formalistic, enforcement may vary across member states, and the framework may struggle to keep pace with rapid technological evolution—particularly as low-risk systems migrate into high-stakes contexts or foundation models are repurposed unpredictably. A deeper critique suggests that risk-based governance can transform inherently political questions about power, surveillance, labor, and democratic order into managerial exercises, potentially managing symptoms without confronting underlying structural issues.</w:t>
      </w:r>
    </w:p>
    <w:p w14:paraId="49E561AE" w14:textId="77777777" w:rsidR="00316764" w:rsidRDefault="00316764" w:rsidP="00316764"/>
    <w:p w14:paraId="7FE13BE1" w14:textId="77777777" w:rsidR="00316764" w:rsidRDefault="00316764" w:rsidP="00316764">
      <w:r>
        <w:t>In comparison with the United States, the EU prioritizes harmonized lifecycle supervision and rights-compatible market access, while the U.S. relies on flexible, innovation-oriented responses through agencies, courts, and state experimentation (such as Colorado’s high-risk AI provisions). Neither is categorically superior: the U.S. may facilitate faster adaptation and reduced bureaucratic friction; the EU may better prevent foreseeable harms and clarify obligations. A brief bridge to China highlights shared administrative governance tendencies but divergent normative foundations—EU emphasis on rights and internal market versus China’s coordination of development, security, and state-defined values.</w:t>
      </w:r>
    </w:p>
    <w:p w14:paraId="7EC3279D" w14:textId="77777777" w:rsidR="00316764" w:rsidRDefault="00316764" w:rsidP="00316764"/>
    <w:p w14:paraId="5D6881D7" w14:textId="515F9D04" w:rsidR="00316764" w:rsidRPr="004935BE" w:rsidRDefault="00316764" w:rsidP="00316764">
      <w:r>
        <w:t xml:space="preserve">Ultimately, the EU AI Act constitutes one of the most comprehensive contemporary efforts to render artificial intelligence legally governable. Through classification, duty allocation, documentation </w:t>
      </w:r>
      <w:r>
        <w:lastRenderedPageBreak/>
        <w:t xml:space="preserve">mandates, human oversight, transparency, and institutional supervision, it seeks to align technological development with European constitutional commitments. Its ambition, however, generates corresponding vulnerabilities. The decisive question is whether a risk-based legal architecture can maintain coherence and effectiveness in the face of general-purpose, rapidly evolving, and globally deployed AI systems—while simultaneously safeguarding fundamental rights and sustaining conditions for innovation. The European Union governs AI by insisting on its legal </w:t>
      </w:r>
      <w:proofErr w:type="spellStart"/>
      <w:r>
        <w:t>classifiability</w:t>
      </w:r>
      <w:proofErr w:type="spellEnd"/>
      <w:r>
        <w:t xml:space="preserve"> and the attachment of calibrated obligations across risk, role, and lifecycle stages. </w:t>
      </w:r>
    </w:p>
    <w:sectPr w:rsidR="00316764" w:rsidRPr="004935BE"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BE"/>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5DCD"/>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1676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35BE"/>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0625E"/>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0AA2"/>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B7DEF7"/>
  <w15:chartTrackingRefBased/>
  <w15:docId w15:val="{73179D9E-97F7-344A-9C0C-3F7AD830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5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5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5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35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5BE"/>
    <w:rPr>
      <w:i/>
      <w:iCs/>
      <w:color w:val="404040" w:themeColor="text1" w:themeTint="BF"/>
    </w:rPr>
  </w:style>
  <w:style w:type="paragraph" w:styleId="ListParagraph">
    <w:name w:val="List Paragraph"/>
    <w:basedOn w:val="Normal"/>
    <w:uiPriority w:val="34"/>
    <w:qFormat/>
    <w:rsid w:val="004935BE"/>
    <w:pPr>
      <w:ind w:left="720"/>
      <w:contextualSpacing/>
    </w:pPr>
  </w:style>
  <w:style w:type="character" w:styleId="IntenseEmphasis">
    <w:name w:val="Intense Emphasis"/>
    <w:basedOn w:val="DefaultParagraphFont"/>
    <w:uiPriority w:val="21"/>
    <w:qFormat/>
    <w:rsid w:val="004935BE"/>
    <w:rPr>
      <w:i/>
      <w:iCs/>
      <w:color w:val="0F4761" w:themeColor="accent1" w:themeShade="BF"/>
    </w:rPr>
  </w:style>
  <w:style w:type="paragraph" w:styleId="IntenseQuote">
    <w:name w:val="Intense Quote"/>
    <w:basedOn w:val="Normal"/>
    <w:next w:val="Normal"/>
    <w:link w:val="IntenseQuoteChar"/>
    <w:uiPriority w:val="30"/>
    <w:qFormat/>
    <w:rsid w:val="00493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BE"/>
    <w:rPr>
      <w:i/>
      <w:iCs/>
      <w:color w:val="0F4761" w:themeColor="accent1" w:themeShade="BF"/>
    </w:rPr>
  </w:style>
  <w:style w:type="character" w:styleId="IntenseReference">
    <w:name w:val="Intense Reference"/>
    <w:basedOn w:val="DefaultParagraphFont"/>
    <w:uiPriority w:val="32"/>
    <w:qFormat/>
    <w:rsid w:val="004935BE"/>
    <w:rPr>
      <w:b/>
      <w:bCs/>
      <w:smallCaps/>
      <w:color w:val="0F4761" w:themeColor="accent1" w:themeShade="BF"/>
      <w:spacing w:val="5"/>
    </w:rPr>
  </w:style>
  <w:style w:type="paragraph" w:styleId="NormalWeb">
    <w:name w:val="Normal (Web)"/>
    <w:basedOn w:val="Normal"/>
    <w:uiPriority w:val="99"/>
    <w:semiHidden/>
    <w:unhideWhenUsed/>
    <w:rsid w:val="004935B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3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5</cp:revision>
  <dcterms:created xsi:type="dcterms:W3CDTF">2026-06-17T00:22:00Z</dcterms:created>
  <dcterms:modified xsi:type="dcterms:W3CDTF">2026-06-17T00:57:00Z</dcterms:modified>
</cp:coreProperties>
</file>