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CD156" w14:textId="7CD4AED7" w:rsidR="004F1627" w:rsidRDefault="00D21A7C">
      <w:pPr>
        <w:rPr>
          <w:lang w:val="es-ES_tradnl"/>
        </w:rPr>
      </w:pPr>
      <w:r>
        <w:rPr>
          <w:lang w:val="es-ES_tradnl"/>
        </w:rPr>
        <w:t>LECTURE TWO SUMMARY</w:t>
      </w:r>
    </w:p>
    <w:p w14:paraId="090C6CAD" w14:textId="77777777" w:rsidR="00D21A7C" w:rsidRDefault="00D21A7C">
      <w:pPr>
        <w:rPr>
          <w:lang w:val="es-ES_tradnl"/>
        </w:rPr>
      </w:pPr>
    </w:p>
    <w:p w14:paraId="06092452" w14:textId="77777777" w:rsidR="00D21A7C" w:rsidRPr="00D21A7C" w:rsidRDefault="00D21A7C" w:rsidP="00D21A7C">
      <w:pPr>
        <w:spacing w:before="100" w:beforeAutospacing="1" w:after="100" w:afterAutospacing="1"/>
        <w:outlineLvl w:val="0"/>
        <w:rPr>
          <w:rFonts w:ascii="Times New Roman" w:eastAsia="Times New Roman" w:hAnsi="Times New Roman" w:cs="Times New Roman"/>
          <w:b/>
          <w:bCs/>
          <w:kern w:val="36"/>
          <w:sz w:val="48"/>
          <w:szCs w:val="48"/>
          <w14:ligatures w14:val="none"/>
        </w:rPr>
      </w:pPr>
      <w:r w:rsidRPr="00D21A7C">
        <w:rPr>
          <w:rFonts w:ascii="Times New Roman" w:eastAsia="Times New Roman" w:hAnsi="Times New Roman" w:cs="Times New Roman"/>
          <w:b/>
          <w:bCs/>
          <w:kern w:val="36"/>
          <w:sz w:val="48"/>
          <w:szCs w:val="48"/>
          <w14:ligatures w14:val="none"/>
        </w:rPr>
        <w:t>Executive Summary: The Regulatory Object and the Regulatory Palette of Artificial Intelligence Governance</w:t>
      </w:r>
    </w:p>
    <w:p w14:paraId="27C3222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Lecture Two advances a central proposition that serves as the conceptual foundation for the remainder of the series: artificial intelligence governance is fundamentally an exercise in classification. Before states can regulate AI, they must first determine what AI is for regulatory purposes. This determination is neither self-evident nor purely technical. AI is not a single object but a complex assemblage of data, computational models, training processes, deployment environments, institutional practices, infrastructures, and social relationships. Consequently, governance begins not with rulemaking but with the construction of a regulatory object.</w:t>
      </w:r>
    </w:p>
    <w:p w14:paraId="0400F248"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lecture argues that discussions about AI regulation often proceed as though artificial intelligence were a coherent and self-contained technology. In reality, governance systems confront a distributed ecosystem in which responsibility, control, risk, and authority are fragmented across multiple actors and technological layers. The central question is therefore not whether AI should be regulated, but which dimensions of AI should become the focus of governance and through what mechanisms those dimensions should be managed.</w:t>
      </w:r>
    </w:p>
    <w:p w14:paraId="335B60AA"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At its core, the lecture introduces what may be understood as a regulatory palette—a set of possible regulatory objects and governance modalities available to policymakers. Different jurisdictions select different combinations from this palette, producing distinctive governance architectures that reflect broader political, economic, and ideological commitments. The comparative study of AI governance thus becomes an inquiry into competing conceptions of social order as much as competing regulatory techniques.</w:t>
      </w:r>
    </w:p>
    <w:p w14:paraId="53982F8D" w14:textId="77777777" w:rsidR="00D21A7C" w:rsidRPr="00D21A7C" w:rsidRDefault="00D21A7C" w:rsidP="00D21A7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D21A7C">
        <w:rPr>
          <w:rFonts w:ascii="Times New Roman" w:eastAsia="Times New Roman" w:hAnsi="Times New Roman" w:cs="Times New Roman"/>
          <w:b/>
          <w:bCs/>
          <w:kern w:val="0"/>
          <w:sz w:val="36"/>
          <w:szCs w:val="36"/>
          <w14:ligatures w14:val="none"/>
        </w:rPr>
        <w:t>The Problem of Regulatory Object Construction</w:t>
      </w:r>
    </w:p>
    <w:p w14:paraId="10650D3E"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lecture begins from the observation that modern AI systems are distributed systems. A large language model deployed in a hospital, for example, may involve data collected from numerous sources, a foundation model developed by one company, cloud infrastructure owned by another, a vendor responsible for integration, institutional decision makers who deploy the system, and professionals who rely on its outputs. When harm occurs, identifying the proper object of regulation becomes difficult.</w:t>
      </w:r>
    </w:p>
    <w:p w14:paraId="0FB9AEE9"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Should governance focus on the training data, the model developer, the cloud provider, the deployer, the user, the output, or the resulting harm? Each answer generates a different regulatory architecture. Consequently, AI governance cannot begin with the vague ambition to "regulate AI." It must begin by determining where legal obligations will attach and how responsibility will be distributed across the technological ecosystem.</w:t>
      </w:r>
    </w:p>
    <w:p w14:paraId="6177DAA3"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lastRenderedPageBreak/>
        <w:t>The lecture proposes a useful organizing principle: governance seeks to match obligations to control. Actors that possess the capacity to shape risk should bear responsibilities proportionate to that capacity. Yet because AI systems distribute both control and knowledge across multiple layers, assigning responsibility becomes one of the defining challenges of contemporary governance.</w:t>
      </w:r>
    </w:p>
    <w:p w14:paraId="4E0B8FAF" w14:textId="77777777" w:rsidR="00D21A7C" w:rsidRPr="00D21A7C" w:rsidRDefault="00D21A7C" w:rsidP="00D21A7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D21A7C">
        <w:rPr>
          <w:rFonts w:ascii="Times New Roman" w:eastAsia="Times New Roman" w:hAnsi="Times New Roman" w:cs="Times New Roman"/>
          <w:b/>
          <w:bCs/>
          <w:kern w:val="0"/>
          <w:sz w:val="36"/>
          <w:szCs w:val="36"/>
          <w14:ligatures w14:val="none"/>
        </w:rPr>
        <w:t>The Seven Regulatory Objects</w:t>
      </w:r>
    </w:p>
    <w:p w14:paraId="2C93F8B4"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lecture's most significant contribution is its systematic identification of seven principal regulatory objects.</w:t>
      </w:r>
    </w:p>
    <w:p w14:paraId="43B8D9D9"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Data as Regulatory Object</w:t>
      </w:r>
    </w:p>
    <w:p w14:paraId="258A261C"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first and perhaps most familiar object is data. Under this approach, AI is understood primarily as a data-processing enterprise. Governance therefore focuses on collection, consent, provenance, retention, deletion, representativeness, privacy, intellectual property, cybersecurity, and cross-border data flows.</w:t>
      </w:r>
    </w:p>
    <w:p w14:paraId="3FE4D69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orientation links AI governance to existing frameworks governing privacy, data protection, labor information, intellectual property rights, and data sovereignty. It reflects the insight that machine-learning systems are deeply dependent on the quality, legality, and representativeness of the data from which they learn.</w:t>
      </w:r>
    </w:p>
    <w:p w14:paraId="49083CB6"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At the same time, the lecture cautions against reducing AI governance to data governance. Problems may arise not merely from data collection but from deployment contexts, institutional practices, or model behavior. Data governance is therefore necessary but insufficient.</w:t>
      </w:r>
    </w:p>
    <w:p w14:paraId="5C0DE942"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Models as Regulatory Objects</w:t>
      </w:r>
    </w:p>
    <w:p w14:paraId="1CBA6C55"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A second approach focuses on the model itself. Governance then centers on model architecture, training processes, capabilities, evaluations, documentation, release practices, access controls, and safety testing.</w:t>
      </w:r>
    </w:p>
    <w:p w14:paraId="36DACD2D"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orientation has become increasingly important with the emergence of foundation models. Because such models can be adapted to innumerable downstream applications, policymakers have become interested in regulating the development process itself rather than waiting to address harms arising from particular uses.</w:t>
      </w:r>
    </w:p>
    <w:p w14:paraId="02FDF817"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Model-centered governance has generated debates regarding model cards, system cards, frontier model evaluations, compute thresholds, red-teaming, open-weight releases, and capability assessments. Yet the lecture notes that models remain only one component within a larger ecosystem. A single model may support beneficial and harmful uses simultaneously, limiting the effectiveness of purely model-based approaches.</w:t>
      </w:r>
    </w:p>
    <w:p w14:paraId="64233B6E"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Outputs as Regulatory Objects</w:t>
      </w:r>
    </w:p>
    <w:p w14:paraId="36ABEA3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lastRenderedPageBreak/>
        <w:t>A third strategy focuses on outputs. Governance then addresses generated text, images, audio, video, rankings, recommendations, classifications, and automated decisions.</w:t>
      </w:r>
    </w:p>
    <w:p w14:paraId="7C44349C"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Output-oriented regulation has become particularly important in discussions concerning misinformation, deepfakes, synthetic media, fraud, intellectual property, and content moderation. This approach is attractive because harms often become visible through outputs.</w:t>
      </w:r>
    </w:p>
    <w:p w14:paraId="5FA34A9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However, the lecture emphasizes that output regulation tends to be reactive. It addresses consequences after they emerge rather than governing the upstream conditions that produced them. Harmful outputs may reflect deficiencies in training data, model design, deployment incentives, or institutional decision-making.</w:t>
      </w:r>
    </w:p>
    <w:p w14:paraId="16708D4C"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Use Cases as Regulatory Objects</w:t>
      </w:r>
    </w:p>
    <w:p w14:paraId="76E9504F"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fourth regulatory object is the use case. Under this framework, governance focuses on how AI is used rather than what AI technically is.</w:t>
      </w:r>
    </w:p>
    <w:p w14:paraId="6FBACD46"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Risk is understood as socially situated. A recommendation system used to suggest music raises different concerns than a system used to determine access to healthcare, employment, education, housing, credit, welfare benefits, or criminal justice outcomes.</w:t>
      </w:r>
    </w:p>
    <w:p w14:paraId="6C61E9E4"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approach is closely associated with risk-based governance frameworks, particularly within the European Union. Its strength lies in connecting regulation to real-world consequences. Its weakness arises from the increasing generality of foundation models, whose ultimate applications may not be known during development.</w:t>
      </w:r>
    </w:p>
    <w:p w14:paraId="0356CC96"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Actors as Regulatory Objects</w:t>
      </w:r>
    </w:p>
    <w:p w14:paraId="33F35A9A"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fifth approach regulates actors rather than technologies. Obligations are assigned to developers, providers, deployers, distributors, employers, cloud providers, public agencies, and users.</w:t>
      </w:r>
    </w:p>
    <w:p w14:paraId="19E7A40F"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framework reflects the practical reality that law often governs through the assignment of duties and liabilities to legal persons. It seeks to determine who possesses knowledge, authority, and control over particular risks.</w:t>
      </w:r>
    </w:p>
    <w:p w14:paraId="668D8C5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Yet modern AI supply chains complicate this approach. Responsibility may be distributed among multiple entities connected through contracts, technical dependencies, and platform relationships. The result can be fragmentation of accountability and uncertainty regarding legal responsibility.</w:t>
      </w:r>
    </w:p>
    <w:p w14:paraId="5F4CFA75"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Harms as Regulatory Objects</w:t>
      </w:r>
    </w:p>
    <w:p w14:paraId="27313E16"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sixth approach focuses on harms. Rather than creating comprehensive AI-specific frameworks, regulators identify injuries and apply existing legal categories.</w:t>
      </w:r>
    </w:p>
    <w:p w14:paraId="272794D4"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lastRenderedPageBreak/>
        <w:t>Discrimination, fraud, deceptive practices, unsafe products, privacy violations, copyright infringement, manipulation, market abuse, and national-security threats become the relevant objects of governance. This approach is particularly characteristic of the United States.</w:t>
      </w:r>
    </w:p>
    <w:p w14:paraId="348563C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strength of harm-based regulation lies in its flexibility. The weakness is its tendency toward reactive intervention. Systemic risks may emerge gradually and remain invisible until substantial harms have already occurred.</w:t>
      </w:r>
    </w:p>
    <w:p w14:paraId="7C50BBAD"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Infrastructure as Regulatory Object</w:t>
      </w:r>
    </w:p>
    <w:p w14:paraId="403CD083"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 xml:space="preserve">The seventh object is infrastructure. Here AI is viewed as a strategic capability dependent on chips, cloud computing, data centers, energy systems, </w:t>
      </w:r>
      <w:proofErr w:type="spellStart"/>
      <w:r w:rsidRPr="00D21A7C">
        <w:rPr>
          <w:rFonts w:ascii="Times New Roman" w:eastAsia="Times New Roman" w:hAnsi="Times New Roman" w:cs="Times New Roman"/>
          <w:kern w:val="0"/>
          <w14:ligatures w14:val="none"/>
        </w:rPr>
        <w:t>compute</w:t>
      </w:r>
      <w:proofErr w:type="spellEnd"/>
      <w:r w:rsidRPr="00D21A7C">
        <w:rPr>
          <w:rFonts w:ascii="Times New Roman" w:eastAsia="Times New Roman" w:hAnsi="Times New Roman" w:cs="Times New Roman"/>
          <w:kern w:val="0"/>
          <w14:ligatures w14:val="none"/>
        </w:rPr>
        <w:t xml:space="preserve"> resources, talent, and capital.</w:t>
      </w:r>
    </w:p>
    <w:p w14:paraId="78180462"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Infrastructure governance has become increasingly important as advanced AI development requires concentrated material resources. Export controls, chip restrictions, cloud reporting requirements, industrial subsidies, sovereign AI initiatives, and technology-transfer controls all emerge from this perspective.</w:t>
      </w:r>
    </w:p>
    <w:p w14:paraId="4C6D18CA"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approach recognizes that AI is not merely software but also a material and geopolitical phenomenon embedded within global supply chains and national development strategies.</w:t>
      </w:r>
    </w:p>
    <w:p w14:paraId="105CDA86" w14:textId="77777777" w:rsidR="00D21A7C" w:rsidRPr="00D21A7C" w:rsidRDefault="00D21A7C" w:rsidP="00D21A7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D21A7C">
        <w:rPr>
          <w:rFonts w:ascii="Times New Roman" w:eastAsia="Times New Roman" w:hAnsi="Times New Roman" w:cs="Times New Roman"/>
          <w:b/>
          <w:bCs/>
          <w:kern w:val="0"/>
          <w:sz w:val="36"/>
          <w:szCs w:val="36"/>
          <w14:ligatures w14:val="none"/>
        </w:rPr>
        <w:t>The Regulatory Modalities</w:t>
      </w:r>
    </w:p>
    <w:p w14:paraId="5537F1B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Having identified possible regulatory objects, the lecture turns to the modalities through which governance is exercised.</w:t>
      </w:r>
    </w:p>
    <w:p w14:paraId="5E3FD0D1"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Market Governance</w:t>
      </w:r>
    </w:p>
    <w:p w14:paraId="513AC0A2"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Market governance relies on competition, innovation, procurement, consumer choice, private ordering, and ex post enforcement. Regulators intervene selectively through antitrust law, consumer protection, tort law, and sector-specific oversight.</w:t>
      </w:r>
    </w:p>
    <w:p w14:paraId="55FCF778"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United States frequently employs this model. Its strength lies in flexibility and innovation. Its weakness is the possibility that market incentives may privilege efficiency, engagement, and profitability over fairness, accountability, or public welfare.</w:t>
      </w:r>
    </w:p>
    <w:p w14:paraId="64AE90A8"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Risk-Based Governance</w:t>
      </w:r>
    </w:p>
    <w:p w14:paraId="17F0639C"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Risk-based governance classifies systems according to potential impact and imposes obligations proportional to identified risks.</w:t>
      </w:r>
    </w:p>
    <w:p w14:paraId="7C2A24B2"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approach is exemplified by the European Union's AI Act. Documentation requirements, conformity assessments, human oversight obligations, monitoring requirements, and prohibitions become calibrated to levels of risk.</w:t>
      </w:r>
    </w:p>
    <w:p w14:paraId="77CEB66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lastRenderedPageBreak/>
        <w:t>The attraction of this model is its apparent proportionality. Its challenge lies in classification. Risk changes over time, and general-purpose models often resist simple categorization.</w:t>
      </w:r>
    </w:p>
    <w:p w14:paraId="50376880"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Rights-Based Governance</w:t>
      </w:r>
    </w:p>
    <w:p w14:paraId="78B0D86E"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Rights-based governance places affected individuals at the center of regulation. The focus shifts from technological performance to human consequences.</w:t>
      </w:r>
    </w:p>
    <w:p w14:paraId="336BDD5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Privacy, equality, due process, autonomy, dignity, labor rights, explanation, contestation, and access to remedies become primary concerns. This approach is particularly important in high-stakes applications involving public services, employment, policing, healthcare, and welfare administration.</w:t>
      </w:r>
    </w:p>
    <w:p w14:paraId="4C16086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Its strength is normative clarity; its challenge lies in translating abstract rights into operational governance requirements.</w:t>
      </w:r>
    </w:p>
    <w:p w14:paraId="044C1B34"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Safety and Assurance Governance</w:t>
      </w:r>
    </w:p>
    <w:p w14:paraId="76BC4293"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Safety governance draws upon engineering, quality-management, and cybersecurity traditions. It emphasizes testing, robustness, security, evaluation, auditing, incident reporting, and lifecycle monitoring.</w:t>
      </w:r>
    </w:p>
    <w:p w14:paraId="2F52F372"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modality has become increasingly important in discussions concerning frontier models, autonomous systems, medical AI, and critical infrastructure.</w:t>
      </w:r>
    </w:p>
    <w:p w14:paraId="1C52216D"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Its principal advantage is operational rigor. Its limitation is that technically safe systems may nonetheless generate social, political, or distributive harms.</w:t>
      </w:r>
    </w:p>
    <w:p w14:paraId="15D9113E"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Platform and Content Governance</w:t>
      </w:r>
    </w:p>
    <w:p w14:paraId="4377254E"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Platform governance treats AI as part of the information environment. It focuses on recommender systems, content moderation, synthetic media, public discourse, transparency, misinformation, and platform power.</w:t>
      </w:r>
    </w:p>
    <w:p w14:paraId="4CDEFA8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modality has become increasingly significant as AI systems mediate access to information and shape public opinion. It occupies a central place in Chinese governance frameworks and is becoming increasingly important within Europe.</w:t>
      </w:r>
    </w:p>
    <w:p w14:paraId="213CE030" w14:textId="77777777" w:rsidR="00D21A7C" w:rsidRPr="00D21A7C" w:rsidRDefault="00D21A7C" w:rsidP="00D21A7C">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D21A7C">
        <w:rPr>
          <w:rFonts w:ascii="Times New Roman" w:eastAsia="Times New Roman" w:hAnsi="Times New Roman" w:cs="Times New Roman"/>
          <w:b/>
          <w:bCs/>
          <w:kern w:val="0"/>
          <w:sz w:val="27"/>
          <w:szCs w:val="27"/>
          <w14:ligatures w14:val="none"/>
        </w:rPr>
        <w:t>Industrial-Strategic Governance</w:t>
      </w:r>
    </w:p>
    <w:p w14:paraId="3771433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Industrial-strategic governance treats AI as a national capability linked to economic competitiveness, technological sovereignty, national security, and geopolitical power.</w:t>
      </w:r>
    </w:p>
    <w:p w14:paraId="0F2B79A8"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This modality focuses on research funding, talent development, standards-setting, cloud infrastructure, chips, energy resources, export controls, and military applications.</w:t>
      </w:r>
    </w:p>
    <w:p w14:paraId="11E6E71E"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lastRenderedPageBreak/>
        <w:t>The lecture notes that all major jurisdictions increasingly employ this modality, though they justify it through different political narratives.</w:t>
      </w:r>
    </w:p>
    <w:p w14:paraId="623D2F81" w14:textId="77777777" w:rsidR="00D21A7C" w:rsidRPr="00D21A7C" w:rsidRDefault="00D21A7C" w:rsidP="00D21A7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D21A7C">
        <w:rPr>
          <w:rFonts w:ascii="Times New Roman" w:eastAsia="Times New Roman" w:hAnsi="Times New Roman" w:cs="Times New Roman"/>
          <w:b/>
          <w:bCs/>
          <w:kern w:val="0"/>
          <w:sz w:val="36"/>
          <w:szCs w:val="36"/>
          <w14:ligatures w14:val="none"/>
        </w:rPr>
        <w:t>The Comparative Significance of the Regulatory Palette</w:t>
      </w:r>
    </w:p>
    <w:p w14:paraId="60545E40"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lecture's broader comparative insight emerges from the interaction between regulatory objects and regulatory modalities. Jurisdictions differ not merely because they adopt different rules but because they construct AI differently.</w:t>
      </w:r>
    </w:p>
    <w:p w14:paraId="1FB096CB"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United States tends to emphasize markets, harms, actors, procurement, litigation, and national-security instruments. The European Union seeks to render AI administratively legible through risk classification, transparency obligations, conformity assessment, and rights protection. China integrates platform governance, cybersecurity, industrial policy, content regulation, algorithmic supervision, and strategic development into a layered governance framework.</w:t>
      </w:r>
    </w:p>
    <w:p w14:paraId="54959F8B"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same technological system may therefore be understood as a commercial product, a fundamental-rights risk, a platform function, a strategic infrastructure asset, or an instrument of social governance depending on the jurisdictional perspective.</w:t>
      </w:r>
    </w:p>
    <w:p w14:paraId="0B168160" w14:textId="77777777" w:rsidR="00D21A7C" w:rsidRPr="00D21A7C" w:rsidRDefault="00D21A7C" w:rsidP="00D21A7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D21A7C">
        <w:rPr>
          <w:rFonts w:ascii="Times New Roman" w:eastAsia="Times New Roman" w:hAnsi="Times New Roman" w:cs="Times New Roman"/>
          <w:b/>
          <w:bCs/>
          <w:kern w:val="0"/>
          <w:sz w:val="36"/>
          <w:szCs w:val="36"/>
          <w14:ligatures w14:val="none"/>
        </w:rPr>
        <w:t>Governance as a Dynamic Process</w:t>
      </w:r>
    </w:p>
    <w:p w14:paraId="796DE63C"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lecture further emphasizes that governance is not external to technology. AI governance develops through a continuing dialectic in which technological innovation produces new capabilities; deployment generates benefits, harms, and public reactions; governance responds through regulation; and those regulatory interventions subsequently reshape technological development.</w:t>
      </w:r>
    </w:p>
    <w:p w14:paraId="08268C01"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Regulation therefore becomes one of the forces shaping innovation itself. Documentation requirements, safety testing, transparency obligations, procurement standards, platform rules, and industrial policies all influence what firms build, how systems are deployed, and what forms of innovation become economically viable.</w:t>
      </w:r>
    </w:p>
    <w:p w14:paraId="49D5ADBF" w14:textId="77777777" w:rsidR="00D21A7C" w:rsidRPr="00D21A7C" w:rsidRDefault="00D21A7C" w:rsidP="00D21A7C">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D21A7C">
        <w:rPr>
          <w:rFonts w:ascii="Times New Roman" w:eastAsia="Times New Roman" w:hAnsi="Times New Roman" w:cs="Times New Roman"/>
          <w:b/>
          <w:bCs/>
          <w:kern w:val="0"/>
          <w:sz w:val="36"/>
          <w:szCs w:val="36"/>
          <w14:ligatures w14:val="none"/>
        </w:rPr>
        <w:t>Conclusion</w:t>
      </w:r>
    </w:p>
    <w:p w14:paraId="257758BF"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The lecture concludes that AI governance is ultimately an exercise in political ordering. Regulatory systems do more than constrain technology; they classify, enable, discipline, and legitimate particular forms of technological development. The critical question is not how much regulation AI requires but what conception of AI regulators adopt and what social order they seek to advance through governance.</w:t>
      </w:r>
    </w:p>
    <w:p w14:paraId="6E94617D" w14:textId="77777777" w:rsidR="00D21A7C" w:rsidRPr="00D21A7C" w:rsidRDefault="00D21A7C" w:rsidP="00D21A7C">
      <w:pPr>
        <w:spacing w:before="100" w:beforeAutospacing="1" w:after="100" w:afterAutospacing="1"/>
        <w:rPr>
          <w:rFonts w:ascii="Times New Roman" w:eastAsia="Times New Roman" w:hAnsi="Times New Roman" w:cs="Times New Roman"/>
          <w:kern w:val="0"/>
          <w14:ligatures w14:val="none"/>
        </w:rPr>
      </w:pPr>
      <w:r w:rsidRPr="00D21A7C">
        <w:rPr>
          <w:rFonts w:ascii="Times New Roman" w:eastAsia="Times New Roman" w:hAnsi="Times New Roman" w:cs="Times New Roman"/>
          <w:kern w:val="0"/>
          <w14:ligatures w14:val="none"/>
        </w:rPr>
        <w:t xml:space="preserve">Viewed through this lens, the central challenge of AI governance becomes clear. Before governments can regulate artificial intelligence, they must decide whether AI is principally data, model, output, use case, actor network, source of harm, strategic infrastructure, or some </w:t>
      </w:r>
      <w:r w:rsidRPr="00D21A7C">
        <w:rPr>
          <w:rFonts w:ascii="Times New Roman" w:eastAsia="Times New Roman" w:hAnsi="Times New Roman" w:cs="Times New Roman"/>
          <w:kern w:val="0"/>
          <w14:ligatures w14:val="none"/>
        </w:rPr>
        <w:lastRenderedPageBreak/>
        <w:t>combination thereof. The answer determines not only the architecture of regulation but also the broader relationship between technology, markets, institutions, and society.</w:t>
      </w:r>
    </w:p>
    <w:p w14:paraId="0E4A0EBC" w14:textId="77777777" w:rsidR="00D21A7C" w:rsidRPr="00D21A7C" w:rsidRDefault="00D21A7C"/>
    <w:sectPr w:rsidR="00D21A7C" w:rsidRPr="00D21A7C" w:rsidSect="00701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doni 72">
    <w:panose1 w:val="00000400000000000000"/>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7C"/>
    <w:rsid w:val="000001E1"/>
    <w:rsid w:val="00005AEB"/>
    <w:rsid w:val="00036D9F"/>
    <w:rsid w:val="0004589F"/>
    <w:rsid w:val="00080F61"/>
    <w:rsid w:val="00084877"/>
    <w:rsid w:val="000B16BF"/>
    <w:rsid w:val="000C441B"/>
    <w:rsid w:val="000D5AB8"/>
    <w:rsid w:val="000E0A80"/>
    <w:rsid w:val="000E488C"/>
    <w:rsid w:val="000E5A29"/>
    <w:rsid w:val="000E6201"/>
    <w:rsid w:val="00103510"/>
    <w:rsid w:val="0011374F"/>
    <w:rsid w:val="001300AB"/>
    <w:rsid w:val="00130B6F"/>
    <w:rsid w:val="001647B2"/>
    <w:rsid w:val="00195A36"/>
    <w:rsid w:val="00196FEA"/>
    <w:rsid w:val="001A060C"/>
    <w:rsid w:val="001A118E"/>
    <w:rsid w:val="001A4D88"/>
    <w:rsid w:val="001B4AB2"/>
    <w:rsid w:val="001B7C76"/>
    <w:rsid w:val="001C35A2"/>
    <w:rsid w:val="001C4CC0"/>
    <w:rsid w:val="001C6986"/>
    <w:rsid w:val="001D5B3F"/>
    <w:rsid w:val="001E1D04"/>
    <w:rsid w:val="001E3668"/>
    <w:rsid w:val="001E60E8"/>
    <w:rsid w:val="001F1E43"/>
    <w:rsid w:val="001F21E5"/>
    <w:rsid w:val="00202F27"/>
    <w:rsid w:val="002049A9"/>
    <w:rsid w:val="00212428"/>
    <w:rsid w:val="002232F2"/>
    <w:rsid w:val="00227EF9"/>
    <w:rsid w:val="00231BD9"/>
    <w:rsid w:val="002367CB"/>
    <w:rsid w:val="002431D6"/>
    <w:rsid w:val="002519F6"/>
    <w:rsid w:val="0025331E"/>
    <w:rsid w:val="0026513F"/>
    <w:rsid w:val="00275173"/>
    <w:rsid w:val="00284D93"/>
    <w:rsid w:val="002979EF"/>
    <w:rsid w:val="002B2FAC"/>
    <w:rsid w:val="002C102D"/>
    <w:rsid w:val="002C7209"/>
    <w:rsid w:val="002D1F0F"/>
    <w:rsid w:val="002E456C"/>
    <w:rsid w:val="002E64A5"/>
    <w:rsid w:val="00303489"/>
    <w:rsid w:val="00307CC3"/>
    <w:rsid w:val="00313C84"/>
    <w:rsid w:val="00320187"/>
    <w:rsid w:val="0033524D"/>
    <w:rsid w:val="00337D72"/>
    <w:rsid w:val="00342882"/>
    <w:rsid w:val="00343A7B"/>
    <w:rsid w:val="00345591"/>
    <w:rsid w:val="00347230"/>
    <w:rsid w:val="003542D6"/>
    <w:rsid w:val="00357393"/>
    <w:rsid w:val="003574BD"/>
    <w:rsid w:val="00362DE2"/>
    <w:rsid w:val="003731A2"/>
    <w:rsid w:val="003853D8"/>
    <w:rsid w:val="003853EF"/>
    <w:rsid w:val="00386EF3"/>
    <w:rsid w:val="003A188E"/>
    <w:rsid w:val="003B6955"/>
    <w:rsid w:val="003C00A1"/>
    <w:rsid w:val="003C6DAC"/>
    <w:rsid w:val="003D11FE"/>
    <w:rsid w:val="003E081C"/>
    <w:rsid w:val="003E2132"/>
    <w:rsid w:val="003E3F81"/>
    <w:rsid w:val="003E3FBE"/>
    <w:rsid w:val="003F0195"/>
    <w:rsid w:val="003F085C"/>
    <w:rsid w:val="00423D55"/>
    <w:rsid w:val="00437CAA"/>
    <w:rsid w:val="0044776B"/>
    <w:rsid w:val="00451953"/>
    <w:rsid w:val="004669A2"/>
    <w:rsid w:val="0047064A"/>
    <w:rsid w:val="00471B94"/>
    <w:rsid w:val="00484A1B"/>
    <w:rsid w:val="0049760A"/>
    <w:rsid w:val="004A4926"/>
    <w:rsid w:val="004D0F78"/>
    <w:rsid w:val="004D3977"/>
    <w:rsid w:val="004D4A4B"/>
    <w:rsid w:val="004E2D94"/>
    <w:rsid w:val="004E51D2"/>
    <w:rsid w:val="004F1627"/>
    <w:rsid w:val="004F7DEA"/>
    <w:rsid w:val="00500950"/>
    <w:rsid w:val="00510E4F"/>
    <w:rsid w:val="005122D9"/>
    <w:rsid w:val="005270FD"/>
    <w:rsid w:val="00527AFE"/>
    <w:rsid w:val="00532133"/>
    <w:rsid w:val="00543739"/>
    <w:rsid w:val="00546611"/>
    <w:rsid w:val="00552591"/>
    <w:rsid w:val="00561EFF"/>
    <w:rsid w:val="00566423"/>
    <w:rsid w:val="00572582"/>
    <w:rsid w:val="00586499"/>
    <w:rsid w:val="00593C54"/>
    <w:rsid w:val="005A3FB8"/>
    <w:rsid w:val="005B297A"/>
    <w:rsid w:val="005C1E5E"/>
    <w:rsid w:val="005D3C16"/>
    <w:rsid w:val="005D4225"/>
    <w:rsid w:val="005D6A7F"/>
    <w:rsid w:val="005E15B0"/>
    <w:rsid w:val="005F271D"/>
    <w:rsid w:val="005F6139"/>
    <w:rsid w:val="005F7EF0"/>
    <w:rsid w:val="006041EC"/>
    <w:rsid w:val="00617254"/>
    <w:rsid w:val="006229AB"/>
    <w:rsid w:val="0062606F"/>
    <w:rsid w:val="006427E7"/>
    <w:rsid w:val="006468A7"/>
    <w:rsid w:val="00665879"/>
    <w:rsid w:val="00667967"/>
    <w:rsid w:val="00667CFB"/>
    <w:rsid w:val="00670B76"/>
    <w:rsid w:val="00675B48"/>
    <w:rsid w:val="00676348"/>
    <w:rsid w:val="00676611"/>
    <w:rsid w:val="00683002"/>
    <w:rsid w:val="00684698"/>
    <w:rsid w:val="006908CD"/>
    <w:rsid w:val="00696C2D"/>
    <w:rsid w:val="006C0F15"/>
    <w:rsid w:val="006E50B4"/>
    <w:rsid w:val="006E7135"/>
    <w:rsid w:val="00701E7B"/>
    <w:rsid w:val="0070625E"/>
    <w:rsid w:val="007215CC"/>
    <w:rsid w:val="007217C3"/>
    <w:rsid w:val="007242B8"/>
    <w:rsid w:val="00742ABE"/>
    <w:rsid w:val="007537D4"/>
    <w:rsid w:val="007663AF"/>
    <w:rsid w:val="00771AF9"/>
    <w:rsid w:val="007747AB"/>
    <w:rsid w:val="007759B4"/>
    <w:rsid w:val="007820D1"/>
    <w:rsid w:val="007A66AF"/>
    <w:rsid w:val="007B79A1"/>
    <w:rsid w:val="007C171B"/>
    <w:rsid w:val="007C4A65"/>
    <w:rsid w:val="007D0677"/>
    <w:rsid w:val="007F5D4C"/>
    <w:rsid w:val="008035AB"/>
    <w:rsid w:val="00804988"/>
    <w:rsid w:val="00807FBA"/>
    <w:rsid w:val="00812431"/>
    <w:rsid w:val="00820A8A"/>
    <w:rsid w:val="00853FD0"/>
    <w:rsid w:val="00856AAD"/>
    <w:rsid w:val="00861AB7"/>
    <w:rsid w:val="00861AD5"/>
    <w:rsid w:val="00866E41"/>
    <w:rsid w:val="008778DB"/>
    <w:rsid w:val="00886663"/>
    <w:rsid w:val="008B7BBA"/>
    <w:rsid w:val="008C15E7"/>
    <w:rsid w:val="008C3D6C"/>
    <w:rsid w:val="008D2731"/>
    <w:rsid w:val="008D2F60"/>
    <w:rsid w:val="008D619A"/>
    <w:rsid w:val="00900D67"/>
    <w:rsid w:val="009404C2"/>
    <w:rsid w:val="00941EB7"/>
    <w:rsid w:val="0095124E"/>
    <w:rsid w:val="00960068"/>
    <w:rsid w:val="009759B6"/>
    <w:rsid w:val="00980256"/>
    <w:rsid w:val="00983C09"/>
    <w:rsid w:val="009958F3"/>
    <w:rsid w:val="00997322"/>
    <w:rsid w:val="009A1973"/>
    <w:rsid w:val="009B4BB5"/>
    <w:rsid w:val="009D1EE6"/>
    <w:rsid w:val="009D279D"/>
    <w:rsid w:val="009E6DB8"/>
    <w:rsid w:val="009F543E"/>
    <w:rsid w:val="009F5739"/>
    <w:rsid w:val="00A06289"/>
    <w:rsid w:val="00A11167"/>
    <w:rsid w:val="00A201DF"/>
    <w:rsid w:val="00A32934"/>
    <w:rsid w:val="00A36387"/>
    <w:rsid w:val="00A52273"/>
    <w:rsid w:val="00A54D55"/>
    <w:rsid w:val="00A565F3"/>
    <w:rsid w:val="00A60FA4"/>
    <w:rsid w:val="00A612B0"/>
    <w:rsid w:val="00A76FB7"/>
    <w:rsid w:val="00A77BDB"/>
    <w:rsid w:val="00A81FD8"/>
    <w:rsid w:val="00A8573B"/>
    <w:rsid w:val="00A85A22"/>
    <w:rsid w:val="00A86FCA"/>
    <w:rsid w:val="00A92209"/>
    <w:rsid w:val="00A958EF"/>
    <w:rsid w:val="00A96D64"/>
    <w:rsid w:val="00AA73C4"/>
    <w:rsid w:val="00AB2666"/>
    <w:rsid w:val="00AB43F4"/>
    <w:rsid w:val="00AD518A"/>
    <w:rsid w:val="00B0267B"/>
    <w:rsid w:val="00B133C5"/>
    <w:rsid w:val="00B16D08"/>
    <w:rsid w:val="00B33E4F"/>
    <w:rsid w:val="00B41D3B"/>
    <w:rsid w:val="00B439F2"/>
    <w:rsid w:val="00B54BBA"/>
    <w:rsid w:val="00B56678"/>
    <w:rsid w:val="00B84259"/>
    <w:rsid w:val="00B85793"/>
    <w:rsid w:val="00B85F98"/>
    <w:rsid w:val="00BB08D8"/>
    <w:rsid w:val="00BB160F"/>
    <w:rsid w:val="00BB2AEF"/>
    <w:rsid w:val="00BB4FA9"/>
    <w:rsid w:val="00BC216C"/>
    <w:rsid w:val="00BD1220"/>
    <w:rsid w:val="00BD25B5"/>
    <w:rsid w:val="00BF1EEF"/>
    <w:rsid w:val="00C00CD5"/>
    <w:rsid w:val="00C2042C"/>
    <w:rsid w:val="00C244E5"/>
    <w:rsid w:val="00C35651"/>
    <w:rsid w:val="00C36DC3"/>
    <w:rsid w:val="00C44B41"/>
    <w:rsid w:val="00C53BEF"/>
    <w:rsid w:val="00C60C0D"/>
    <w:rsid w:val="00C66979"/>
    <w:rsid w:val="00C716B4"/>
    <w:rsid w:val="00C74C93"/>
    <w:rsid w:val="00C8095A"/>
    <w:rsid w:val="00C81BCB"/>
    <w:rsid w:val="00C862A2"/>
    <w:rsid w:val="00C86774"/>
    <w:rsid w:val="00CB2722"/>
    <w:rsid w:val="00CC03D9"/>
    <w:rsid w:val="00CC474D"/>
    <w:rsid w:val="00CC68D7"/>
    <w:rsid w:val="00CD010C"/>
    <w:rsid w:val="00CD1EA9"/>
    <w:rsid w:val="00CD3BA2"/>
    <w:rsid w:val="00CD7961"/>
    <w:rsid w:val="00CE31C0"/>
    <w:rsid w:val="00CF7F4A"/>
    <w:rsid w:val="00D00A07"/>
    <w:rsid w:val="00D0535E"/>
    <w:rsid w:val="00D10703"/>
    <w:rsid w:val="00D118F1"/>
    <w:rsid w:val="00D21A7C"/>
    <w:rsid w:val="00D27114"/>
    <w:rsid w:val="00D3331F"/>
    <w:rsid w:val="00D3541E"/>
    <w:rsid w:val="00D46E9A"/>
    <w:rsid w:val="00D47FBA"/>
    <w:rsid w:val="00D62B7E"/>
    <w:rsid w:val="00D64D08"/>
    <w:rsid w:val="00DB3163"/>
    <w:rsid w:val="00DB475D"/>
    <w:rsid w:val="00DC5D3C"/>
    <w:rsid w:val="00DC71B3"/>
    <w:rsid w:val="00DD27B1"/>
    <w:rsid w:val="00DD6170"/>
    <w:rsid w:val="00DD6C97"/>
    <w:rsid w:val="00DE45D3"/>
    <w:rsid w:val="00DE74F5"/>
    <w:rsid w:val="00E06937"/>
    <w:rsid w:val="00E121DD"/>
    <w:rsid w:val="00E12D5F"/>
    <w:rsid w:val="00E13131"/>
    <w:rsid w:val="00E14948"/>
    <w:rsid w:val="00E21BE5"/>
    <w:rsid w:val="00E21E8A"/>
    <w:rsid w:val="00E23955"/>
    <w:rsid w:val="00E24B59"/>
    <w:rsid w:val="00E25AE3"/>
    <w:rsid w:val="00E27066"/>
    <w:rsid w:val="00E32F44"/>
    <w:rsid w:val="00E33ECA"/>
    <w:rsid w:val="00E54A6A"/>
    <w:rsid w:val="00E7117C"/>
    <w:rsid w:val="00E75316"/>
    <w:rsid w:val="00E82747"/>
    <w:rsid w:val="00E849E0"/>
    <w:rsid w:val="00E85273"/>
    <w:rsid w:val="00E857EA"/>
    <w:rsid w:val="00E952AB"/>
    <w:rsid w:val="00EA0232"/>
    <w:rsid w:val="00EA0258"/>
    <w:rsid w:val="00EB3790"/>
    <w:rsid w:val="00EC65DA"/>
    <w:rsid w:val="00ED2AE7"/>
    <w:rsid w:val="00EE279B"/>
    <w:rsid w:val="00EE5AE9"/>
    <w:rsid w:val="00F0077F"/>
    <w:rsid w:val="00F01822"/>
    <w:rsid w:val="00F043DA"/>
    <w:rsid w:val="00F04C74"/>
    <w:rsid w:val="00F06866"/>
    <w:rsid w:val="00F30CF2"/>
    <w:rsid w:val="00F30F4C"/>
    <w:rsid w:val="00F4001E"/>
    <w:rsid w:val="00F40604"/>
    <w:rsid w:val="00F44D2C"/>
    <w:rsid w:val="00F510C7"/>
    <w:rsid w:val="00F51885"/>
    <w:rsid w:val="00F528A0"/>
    <w:rsid w:val="00F5513B"/>
    <w:rsid w:val="00F563B6"/>
    <w:rsid w:val="00F6589C"/>
    <w:rsid w:val="00F65AB0"/>
    <w:rsid w:val="00F673BF"/>
    <w:rsid w:val="00F71E01"/>
    <w:rsid w:val="00F82578"/>
    <w:rsid w:val="00F873A5"/>
    <w:rsid w:val="00F9005F"/>
    <w:rsid w:val="00F91980"/>
    <w:rsid w:val="00FA059F"/>
    <w:rsid w:val="00FB7B11"/>
    <w:rsid w:val="00FC0673"/>
    <w:rsid w:val="00FC1EC2"/>
    <w:rsid w:val="00FD1F6C"/>
    <w:rsid w:val="00FD3A3C"/>
    <w:rsid w:val="00FD5AAF"/>
    <w:rsid w:val="00FF007C"/>
    <w:rsid w:val="00FF16C3"/>
    <w:rsid w:val="00FF2435"/>
    <w:rsid w:val="00FF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0EAAC25"/>
  <w15:chartTrackingRefBased/>
  <w15:docId w15:val="{7343E011-C7D3-8A4D-9BF5-F88308A5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doni 72" w:eastAsiaTheme="minorEastAsia" w:hAnsi="Bodoni 72" w:cs="Times New Roman (Body CS)"/>
        <w:kern w:val="2"/>
        <w:sz w:val="24"/>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1A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A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1A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1A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1A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1A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1A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A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A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1A7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A7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1A7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1A7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1A7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1A7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1A7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1A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A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A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A7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1A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1A7C"/>
    <w:rPr>
      <w:i/>
      <w:iCs/>
      <w:color w:val="404040" w:themeColor="text1" w:themeTint="BF"/>
    </w:rPr>
  </w:style>
  <w:style w:type="paragraph" w:styleId="ListParagraph">
    <w:name w:val="List Paragraph"/>
    <w:basedOn w:val="Normal"/>
    <w:uiPriority w:val="34"/>
    <w:qFormat/>
    <w:rsid w:val="00D21A7C"/>
    <w:pPr>
      <w:ind w:left="720"/>
      <w:contextualSpacing/>
    </w:pPr>
  </w:style>
  <w:style w:type="character" w:styleId="IntenseEmphasis">
    <w:name w:val="Intense Emphasis"/>
    <w:basedOn w:val="DefaultParagraphFont"/>
    <w:uiPriority w:val="21"/>
    <w:qFormat/>
    <w:rsid w:val="00D21A7C"/>
    <w:rPr>
      <w:i/>
      <w:iCs/>
      <w:color w:val="0F4761" w:themeColor="accent1" w:themeShade="BF"/>
    </w:rPr>
  </w:style>
  <w:style w:type="paragraph" w:styleId="IntenseQuote">
    <w:name w:val="Intense Quote"/>
    <w:basedOn w:val="Normal"/>
    <w:next w:val="Normal"/>
    <w:link w:val="IntenseQuoteChar"/>
    <w:uiPriority w:val="30"/>
    <w:qFormat/>
    <w:rsid w:val="00D21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A7C"/>
    <w:rPr>
      <w:i/>
      <w:iCs/>
      <w:color w:val="0F4761" w:themeColor="accent1" w:themeShade="BF"/>
    </w:rPr>
  </w:style>
  <w:style w:type="character" w:styleId="IntenseReference">
    <w:name w:val="Intense Reference"/>
    <w:basedOn w:val="DefaultParagraphFont"/>
    <w:uiPriority w:val="32"/>
    <w:qFormat/>
    <w:rsid w:val="00D21A7C"/>
    <w:rPr>
      <w:b/>
      <w:bCs/>
      <w:smallCaps/>
      <w:color w:val="0F4761" w:themeColor="accent1" w:themeShade="BF"/>
      <w:spacing w:val="5"/>
    </w:rPr>
  </w:style>
  <w:style w:type="paragraph" w:styleId="NormalWeb">
    <w:name w:val="Normal (Web)"/>
    <w:basedOn w:val="Normal"/>
    <w:uiPriority w:val="99"/>
    <w:semiHidden/>
    <w:unhideWhenUsed/>
    <w:rsid w:val="00D21A7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Larry Cata</dc:creator>
  <cp:keywords/>
  <dc:description/>
  <cp:lastModifiedBy>Backer, Larry Cata</cp:lastModifiedBy>
  <cp:revision>1</cp:revision>
  <dcterms:created xsi:type="dcterms:W3CDTF">2026-06-14T15:25:00Z</dcterms:created>
  <dcterms:modified xsi:type="dcterms:W3CDTF">2026-06-14T15:53:00Z</dcterms:modified>
</cp:coreProperties>
</file>