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06DF846" w14:textId="495EF6CC" w:rsidR="004F1627" w:rsidRPr="000A7E1E" w:rsidRDefault="000A7E1E">
      <w:r w:rsidRPr="000A7E1E">
        <w:t>LECTURE 5 SUMMARY</w:t>
      </w:r>
    </w:p>
    <w:p w14:paraId="2F7BC4A1" w14:textId="77777777" w:rsidR="000A7E1E" w:rsidRDefault="000A7E1E"/>
    <w:p w14:paraId="38B046DA" w14:textId="347AA82A" w:rsidR="000A7E1E" w:rsidRPr="000A7E1E" w:rsidRDefault="000A7E1E">
      <w:r>
        <w:t>VERSION 1</w:t>
      </w:r>
    </w:p>
    <w:p w14:paraId="311958FC" w14:textId="77777777" w:rsidR="000A7E1E" w:rsidRDefault="000A7E1E" w:rsidP="000A7E1E">
      <w:pPr>
        <w:pStyle w:val="my-2"/>
      </w:pPr>
      <w:r>
        <w:t>Lecture Five develops an account of China’s approach to artificial intelligence governance that resists reduction to familiar categories of regulation, whether framed as privacy protection, product safety, or market oversight. Instead, it advances the proposition that AI in China is constructed as strategic socio-technical infrastructure situated within the broader political project of socialist modernization under the leadership of the Communist Party of China (CPC). From this perspective, governance is neither principally about constraining risk nor enabling markets, but about coordinating the development and deployment of AI as both an engine of modernization and an instrument for the rationalization of state power, social order, and ideological coherence.</w:t>
      </w:r>
    </w:p>
    <w:p w14:paraId="34777E75" w14:textId="77777777" w:rsidR="000A7E1E" w:rsidRDefault="000A7E1E" w:rsidP="000A7E1E">
      <w:pPr>
        <w:pStyle w:val="my-2"/>
      </w:pPr>
      <w:r>
        <w:t>The lecture situates this approach comparatively against the models developed in earlier sessions: the United States as a system of monitored market governance and the European Union as a system of risk-based supervisory governance. China, by contrast, is presented as a system of developmental-security governance organized through party-state coordination. This distinction is not merely institutional but conceptual. Where the United States tends to construct AI as an innovation ecosystem subject to ex post oversight, and the European Union as a risk-bearing system requiring ex ante classification and control, China constructs AI as a productive force embedded in a broader socio-political order. The object of governance is therefore not simply the AI system as artifact, but the ensemble of relationships—data, platforms, algorithms, content, and users—through which AI operates within society.</w:t>
      </w:r>
    </w:p>
    <w:p w14:paraId="673B3035" w14:textId="77777777" w:rsidR="000A7E1E" w:rsidRDefault="000A7E1E" w:rsidP="000A7E1E">
      <w:pPr>
        <w:pStyle w:val="my-2"/>
      </w:pPr>
      <w:r>
        <w:t>Central to this construction is the development-security dialectic, which operates as an organizing principle across legal, policy, and institutional domains. Development refers to the mobilization of AI for economic growth, industrial upgrading, scientific advancement, and global competitiveness. Security refers to the necessity that such development remain controllable, lawful, and aligned with the imperatives of national security, social stability, and ideological order. The dialectic does not produce a balance in the liberal sense; rather, it structures a dynamic in which development is advanced through mechanisms that simultaneously embed control. AI is encouraged, but only in forms that can be rendered legible and governable within the structures of party-state authority.</w:t>
      </w:r>
    </w:p>
    <w:p w14:paraId="64B55C0F" w14:textId="77777777" w:rsidR="000A7E1E" w:rsidRDefault="000A7E1E" w:rsidP="000A7E1E">
      <w:pPr>
        <w:pStyle w:val="my-2"/>
      </w:pPr>
      <w:r>
        <w:t>The lecture emphasizes that this dialectic is embedded in the broader theoretical framework of Marxist-Leninist New Era thought, in which modernization functions as both the engine and the vessel for the continuous rationalization of the state. AI becomes one of the principal technologies through which this rationalization is pursued. It is not merely a tool for economic productivity, but also for governance: enabling new forms of administration, surveillance, coordination, and public service delivery. In this sense, AI participates in the transformation of both the productive and administrative capacities of the state, reinforcing the centrality of CPC leadership as the coordinating force across these domains.</w:t>
      </w:r>
    </w:p>
    <w:p w14:paraId="1C99A07D" w14:textId="77777777" w:rsidR="000A7E1E" w:rsidRDefault="000A7E1E" w:rsidP="000A7E1E">
      <w:pPr>
        <w:pStyle w:val="my-2"/>
      </w:pPr>
      <w:r>
        <w:t xml:space="preserve">Institutionally, China’s approach is characterized by a layered but coordinated architecture of governance rather than a unified statutory regime. The lecture draws attention to a set of key </w:t>
      </w:r>
      <w:r>
        <w:lastRenderedPageBreak/>
        <w:t>instruments, including the New Generation Artificial Intelligence Development Plan (2017), the Cybersecurity Law, the Data Security Law, the Personal Information Protection Law, the Provisions on Algorithmic Recommendation in Internet Information Services, the Provisions on Deep Synthesis Internet Information Services, and the Interim Measures for the Management of Generative Artificial Intelligence Services. These instruments do not form a single, internally coherent code analogous to the EU AI Act. Instead, they operate across different layers of the digital ecosystem, each addressing specific modalities—data, networks, algorithms, content—while remaining coordinated through shared political and normative commitments.</w:t>
      </w:r>
    </w:p>
    <w:p w14:paraId="4CAEAA9C" w14:textId="77777777" w:rsidR="000A7E1E" w:rsidRDefault="000A7E1E" w:rsidP="000A7E1E">
      <w:pPr>
        <w:pStyle w:val="my-2"/>
      </w:pPr>
      <w:r>
        <w:t>The foundational layer is provided by data and cybersecurity law. The Cybersecurity Law, Data Security Law, and Personal Information Protection Law establish the basic framework through which data is classified, processed, secured, and transferred. Within this framework, data is simultaneously an economic resource essential for AI development and an object of sovereignty implicating national security and social order. Governance therefore extends beyond individual privacy to encompass questions of control, localization, and alignment with national priorities. For AI systems, which depend fundamentally on data, this layer functions as both an enabling and constraining condition: facilitating access to data for development while imposing obligations designed to ensure that data flows remain governable.</w:t>
      </w:r>
    </w:p>
    <w:p w14:paraId="63D3FC49" w14:textId="77777777" w:rsidR="000A7E1E" w:rsidRDefault="000A7E1E" w:rsidP="000A7E1E">
      <w:pPr>
        <w:pStyle w:val="my-2"/>
      </w:pPr>
      <w:r>
        <w:t>Building on this foundation, the lecture highlights the significance of the Provisions on Algorithmic Recommendation, which represent a distinctive feature of China’s approach. These provisions identify algorithmic recommendation systems as infrastructures with the capacity to shape public opinion, consumption patterns, and social behavior. Unlike approaches that treat recommender systems as neutral tools or matters of platform design, the Chinese framework treats them as objects of governance in their own right. Providers are required to implement internal governance mechanisms, protect personal information, avoid unlawful or harmful content, provide user controls, and, in certain cases, submit algorithms for filing or review. Crucially, these obligations are triggered not only by technical risk but by the system’s potential to influence public discourse, captured in the concept of “public opinion attributes” and “social mobilization capacity.”</w:t>
      </w:r>
    </w:p>
    <w:p w14:paraId="56825FA6" w14:textId="77777777" w:rsidR="000A7E1E" w:rsidRDefault="000A7E1E" w:rsidP="000A7E1E">
      <w:pPr>
        <w:pStyle w:val="my-2"/>
      </w:pPr>
      <w:r>
        <w:t>This concept recurs across multiple regulatory domains and serves as a key to understanding the political logic of the system. A technology is governance-relevant to the extent that it can shape collective cognition, organize attention, or facilitate coordinated action. From this perspective, the risks of AI are not limited to error, bias, or safety failures; they include the capacity to destabilize informational order, undermine ideological coherence, or disrupt social stability. Governance therefore attaches to the effects of AI within the social field, rather than solely to its internal technical properties.</w:t>
      </w:r>
    </w:p>
    <w:p w14:paraId="629C490E" w14:textId="77777777" w:rsidR="000A7E1E" w:rsidRDefault="000A7E1E" w:rsidP="000A7E1E">
      <w:pPr>
        <w:pStyle w:val="my-2"/>
      </w:pPr>
      <w:r>
        <w:t xml:space="preserve">The Provisions on Deep Synthesis Internet Information Services extend this logic to synthetic media, including technologies capable of generating or manipulating text, images, audio, and video. These rules impose requirements relating to content labeling, identity verification, data protection, and security assessment, particularly for services with public opinion impact. The concern is not only individual harm, such as fraud or impersonation, but systemic effects on trust, information integrity, and public order. Synthetic media is thus incorporated into a broader </w:t>
      </w:r>
      <w:r>
        <w:lastRenderedPageBreak/>
        <w:t>regime of information governance in which the distinction between technical and political risk is deliberately collapsed.</w:t>
      </w:r>
    </w:p>
    <w:p w14:paraId="20AB918D" w14:textId="77777777" w:rsidR="000A7E1E" w:rsidRDefault="000A7E1E" w:rsidP="000A7E1E">
      <w:pPr>
        <w:pStyle w:val="my-2"/>
      </w:pPr>
      <w:r>
        <w:t>The Interim Measures for the Management of Generative Artificial Intelligence Services further consolidate these approaches within a framework specifically addressing public-facing generative AI. These measures articulate explicitly the dual objective of promoting development while safeguarding national security, public interests, and lawful rights. Providers are subject to obligations concerning the legality of training data, intellectual property compliance, personal information protection, content safety, non-discrimination, transparency, and user rights. At the same time, generated content must conform to substantive constraints, including alignment with Core Socialist Values and prohibitions on content that threatens national security or social stability. Services with significant public opinion impact may be required to undergo security assessments and algorithm filing, reinforcing the principle that generative AI is not merely a technological service but a form of information infrastructure subject to political oversight.</w:t>
      </w:r>
    </w:p>
    <w:p w14:paraId="70FBA48A" w14:textId="77777777" w:rsidR="000A7E1E" w:rsidRDefault="000A7E1E" w:rsidP="000A7E1E">
      <w:pPr>
        <w:pStyle w:val="my-2"/>
      </w:pPr>
      <w:r>
        <w:t>Across these regulatory layers, the role of ideology is explicit rather than implicit. The requirement to uphold Core Socialist Values embeds a normative framework within the operation of AI systems themselves. This differs from approaches that frame alignment in terms of user preferences, ethical principles, or abstract rights. In the Chinese context, alignment includes conformity with a state-defined ideological order, linking technical governance directly to political legitimacy.</w:t>
      </w:r>
    </w:p>
    <w:p w14:paraId="00E42591" w14:textId="77777777" w:rsidR="000A7E1E" w:rsidRDefault="000A7E1E" w:rsidP="000A7E1E">
      <w:pPr>
        <w:pStyle w:val="my-2"/>
      </w:pPr>
      <w:r>
        <w:t>Platforms occupy a central position within this coordinated system as governance intermediaries. They are tasked with implementing regulatory requirements through technical design, content moderation, data management, and compliance processes. This delegation does not imply autonomy in the liberal sense; rather, it reflects a model in which private actors participate in the exercise of public authority under the guidance of the party-state. Platforms become sites where governance is operationalized, translating abstract directives into concrete system behaviors.</w:t>
      </w:r>
    </w:p>
    <w:p w14:paraId="4B81E0A6" w14:textId="77777777" w:rsidR="000A7E1E" w:rsidRDefault="000A7E1E" w:rsidP="000A7E1E">
      <w:pPr>
        <w:pStyle w:val="my-2"/>
      </w:pPr>
      <w:r>
        <w:t>At the same time, the lecture underscores that China’s approach is not solely restrictive. Industrial policy plays a significant role in promoting AI development through investment, infrastructure, talent cultivation, and standard-setting. The state seeks to foster domestic technological capacity and reduce dependence on foreign technologies, particularly in the context of geopolitical competition and external constraints such as export controls. This developmental dimension reinforces the centrality of AI to national strategy, positioning it as a key driver of economic transformation and global influence.</w:t>
      </w:r>
    </w:p>
    <w:p w14:paraId="50942A41" w14:textId="77777777" w:rsidR="000A7E1E" w:rsidRDefault="000A7E1E" w:rsidP="000A7E1E">
      <w:pPr>
        <w:pStyle w:val="my-2"/>
      </w:pPr>
      <w:r>
        <w:t>China’s engagement with global AI governance reflects a similar duality. Internationally, it emphasizes principles of sovereignty, development rights, multilateralism, and opposition to technological hegemony, as reflected in initiatives such as the Global AI Governance Initiative. Domestically, it maintains a system oriented toward control, alignment, and state authority. These positions are not necessarily contradictory within the Chinese framework; rather, they express a consistent emphasis on the right of states to govern technology in accordance with their own political and social systems.</w:t>
      </w:r>
    </w:p>
    <w:p w14:paraId="5F25DEC5" w14:textId="77777777" w:rsidR="000A7E1E" w:rsidRDefault="000A7E1E" w:rsidP="000A7E1E">
      <w:pPr>
        <w:pStyle w:val="my-2"/>
      </w:pPr>
      <w:r>
        <w:lastRenderedPageBreak/>
        <w:t>The lecture also identifies both strengths and limitations of this model. Its strengths include the recognition of AI as infrastructure, the integration of multiple governance domains, the early regulation of algorithmic and generative systems, and the capacity to implement rules at scale through coordinated state and platform action. Its limitations include the concentration of control, the opacity of enforcement, constraints on contestation and individual autonomy, and potential tensions between political requirements and innovation dynamics.</w:t>
      </w:r>
    </w:p>
    <w:p w14:paraId="4AE01FA1" w14:textId="77777777" w:rsidR="000A7E1E" w:rsidRDefault="000A7E1E" w:rsidP="000A7E1E">
      <w:pPr>
        <w:pStyle w:val="my-2"/>
      </w:pPr>
      <w:r>
        <w:t>In comparative terms, the Chinese model is distinguished less by the quantity of regulation than by the underlying conception of AI and its role within society. The United States emphasizes market dynamism and strategic competition, with governance often fragmented across sectors and institutions. The European Union emphasizes legal structure, risk classification, and the protection of fundamental rights through comprehensive regulatory frameworks. China, by contrast, embeds AI within a coordinated system oriented toward socialist modernization, in which development, security, and ideology are mutually constitutive.</w:t>
      </w:r>
    </w:p>
    <w:p w14:paraId="132A4B31" w14:textId="77777777" w:rsidR="000A7E1E" w:rsidRDefault="000A7E1E" w:rsidP="000A7E1E">
      <w:pPr>
        <w:pStyle w:val="my-2"/>
      </w:pPr>
      <w:r>
        <w:t>The lecture concludes that AI governance is best understood as an expression of comparative political economy. Different systems do not merely regulate AI differently; they construct AI differently as an object of governance. In China, AI is a strategic infrastructure to be developed, disciplined, and aligned within a broader project of state-led modernization. The central question that emerges is whether such a system can sustain technological innovation while maintaining the levels of control, stability, and ideological coherence that it seeks to preserve.</w:t>
      </w:r>
    </w:p>
    <w:p w14:paraId="5EA5DA1F" w14:textId="77777777" w:rsidR="000A7E1E" w:rsidRDefault="000A7E1E" w:rsidP="000A7E1E">
      <w:pPr>
        <w:pStyle w:val="my-2"/>
      </w:pPr>
    </w:p>
    <w:p w14:paraId="72617940" w14:textId="7B557DF0" w:rsidR="000A7E1E" w:rsidRDefault="000A7E1E" w:rsidP="000A7E1E">
      <w:pPr>
        <w:pStyle w:val="my-2"/>
      </w:pPr>
      <w:r>
        <w:t>VERSION 2</w:t>
      </w:r>
    </w:p>
    <w:p w14:paraId="1FD29768" w14:textId="77777777" w:rsidR="000A7E1E" w:rsidRDefault="000A7E1E" w:rsidP="000A7E1E">
      <w:pPr>
        <w:pStyle w:val="my-2"/>
      </w:pPr>
      <w:r>
        <w:t>Lecture Five introduces China’s approach to artificial intelligence governance as a distinct model that should not be understood through the familiar lenses of privacy regulation, product safety, or market oversight. Instead, students are asked to approach China’s system as a coordinated governance formation embedded in the broader political project of socialist modernization under Communist Party leadership. AI is framed not simply as a technology or a market product, but as strategic socio-technical infrastructure—both a productive force driving development and a governance tool through which the state rationalizes administration, social order, and ideological alignment.</w:t>
      </w:r>
    </w:p>
    <w:p w14:paraId="6D0721B5" w14:textId="77777777" w:rsidR="000A7E1E" w:rsidRDefault="000A7E1E" w:rsidP="000A7E1E">
      <w:pPr>
        <w:pStyle w:val="my-2"/>
      </w:pPr>
      <w:r>
        <w:t>The lecture situates China comparatively alongside the United States and the European Union. Recall that the United States emphasizes monitored market governance and innovation, while the European Union emphasizes risk-based supervision grounded in fundamental rights. China differs at the level of first principles. It constructs AI as part of a state-led modernization project in which development, security, and ideology are coordinated rather than separated. This means that governance is not primarily about limiting harm after the fact or classifying risk in advance, but about ensuring that AI systems evolve in ways that remain aligned with party-state priorities.</w:t>
      </w:r>
    </w:p>
    <w:p w14:paraId="45A50E0C" w14:textId="77777777" w:rsidR="000A7E1E" w:rsidRDefault="000A7E1E" w:rsidP="000A7E1E">
      <w:pPr>
        <w:pStyle w:val="my-2"/>
      </w:pPr>
      <w:r>
        <w:t xml:space="preserve">A key concept for students to understand is the development-security dialectic. Chinese policy consistently combines two imperatives: AI must advance economic growth, industrial upgrading, and technological capacity (development), while also remaining controllable, secure, and aligned </w:t>
      </w:r>
      <w:r>
        <w:lastRenderedPageBreak/>
        <w:t>with national security, social stability, and ideological requirements (security). These are not treated as competing goals in a liberal balancing sense. Instead, development is pursued through mechanisms that embed security, and security is designed to enable sustainable development under state supervision.</w:t>
      </w:r>
    </w:p>
    <w:p w14:paraId="6818AE69" w14:textId="77777777" w:rsidR="000A7E1E" w:rsidRDefault="000A7E1E" w:rsidP="000A7E1E">
      <w:pPr>
        <w:pStyle w:val="my-2"/>
      </w:pPr>
      <w:r>
        <w:t>This dialectic is grounded in a broader theoretical framework associated with Marxist-Leninist New Era thought. Modernization is understood as both the engine and the vehicle for strengthening and rationalizing the state. AI plays a central role in this process. It is expected to transform industry, governance, and public services, while also enhancing the state’s capacity to manage society, including through data systems, predictive tools, and digital platforms. Students should therefore see AI not only as an economic technology but as part of a governance transformation.</w:t>
      </w:r>
    </w:p>
    <w:p w14:paraId="15E7D9FF" w14:textId="77777777" w:rsidR="000A7E1E" w:rsidRDefault="000A7E1E" w:rsidP="000A7E1E">
      <w:pPr>
        <w:pStyle w:val="my-2"/>
      </w:pPr>
      <w:r>
        <w:t>Institutionally, China does not rely on a single comprehensive AI law. Instead, it uses a layered but coordinated set of legal and policy instruments. These include the New Generation Artificial Intelligence Development Plan (2017), the Cybersecurity Law, Data Security Law, Personal Information Protection Law, the Provisions on Algorithmic Recommendation, the Provisions on Deep Synthesis Internet Information Services, and the Interim Measures for Generative Artificial Intelligence Services. These instruments operate across different parts of the digital ecosystem—data, networks, algorithms, and content—but are aligned through common political objectives. Students should think of this as coordination under Party leadership rather than integration into a single legal code.</w:t>
      </w:r>
    </w:p>
    <w:p w14:paraId="7AA2DC08" w14:textId="77777777" w:rsidR="000A7E1E" w:rsidRDefault="000A7E1E" w:rsidP="000A7E1E">
      <w:pPr>
        <w:pStyle w:val="my-2"/>
      </w:pPr>
      <w:r>
        <w:t>The foundation of this system is data governance. The Cybersecurity Law, Data Security Law, and Personal Information Protection Law regulate how data is collected, processed, classified, and transferred. Importantly, data is treated as both an economic resource and a matter of national security and sovereignty. This has direct implications for AI, since AI systems depend on large-scale data. Governance therefore focuses not only on privacy, but also on control over data flows, especially cross-border transfers, and on ensuring that data use aligns with national priorities.</w:t>
      </w:r>
    </w:p>
    <w:p w14:paraId="54E01B49" w14:textId="77777777" w:rsidR="000A7E1E" w:rsidRDefault="000A7E1E" w:rsidP="000A7E1E">
      <w:pPr>
        <w:pStyle w:val="my-2"/>
      </w:pPr>
      <w:r>
        <w:t>Building on this foundation, the lecture highlights the importance of algorithmic recommendation regulation. The Provisions on Algorithmic Recommendation treat recommender systems as key infrastructures that shape attention, consumption, and public discourse. This is a major conceptual move: recommendation algorithms are not just technical tools but mechanisms of social influence. As a result, providers must implement governance systems, protect user data, avoid harmful or unlawful content, provide user controls, and in some cases file their algorithms with regulators. The trigger for heightened oversight is whether a system has “public opinion attributes” or “social mobilization capacity.”</w:t>
      </w:r>
    </w:p>
    <w:p w14:paraId="3483AD71" w14:textId="77777777" w:rsidR="000A7E1E" w:rsidRDefault="000A7E1E" w:rsidP="000A7E1E">
      <w:pPr>
        <w:pStyle w:val="my-2"/>
      </w:pPr>
      <w:r>
        <w:t>Students should pay close attention to this concept. It captures the idea that AI systems are risky not only because they may be inaccurate or biased, but because they can shape how people think, what they see, and how they act collectively. This same logic appears in the regulation of deep synthesis technologies (such as deepfakes). The Deep Synthesis Provisions require labeling, identity verification, and content controls, reflecting concerns about misinformation, fraud, and broader disruptions to informational order and social trust.</w:t>
      </w:r>
    </w:p>
    <w:p w14:paraId="3AA18D6F" w14:textId="77777777" w:rsidR="000A7E1E" w:rsidRDefault="000A7E1E" w:rsidP="000A7E1E">
      <w:pPr>
        <w:pStyle w:val="my-2"/>
      </w:pPr>
      <w:r>
        <w:lastRenderedPageBreak/>
        <w:t>The Interim Measures for Generative AI extend these principles to systems like chatbots and image generators. These measures promote the development of generative AI but impose obligations related to training data legality, intellectual property, personal information protection, and content governance. Outputs must comply with legal and political standards, including alignment with Core Socialist Values. Systems with significant influence over public opinion may be subject to additional review, including security assessments and algorithm filing.</w:t>
      </w:r>
    </w:p>
    <w:p w14:paraId="62BBBCCE" w14:textId="77777777" w:rsidR="000A7E1E" w:rsidRDefault="000A7E1E" w:rsidP="000A7E1E">
      <w:pPr>
        <w:pStyle w:val="my-2"/>
      </w:pPr>
      <w:r>
        <w:t>At this point, students should recognize a pattern: governance attaches not only to the technology itself but to its social effects, especially its capacity to influence public opinion and social organization. This is a defining feature of the Chinese approach. It reflects a broader system of public opinion governance in which information flows are considered integral to political stability and state authority.</w:t>
      </w:r>
    </w:p>
    <w:p w14:paraId="574710BD" w14:textId="77777777" w:rsidR="000A7E1E" w:rsidRDefault="000A7E1E" w:rsidP="000A7E1E">
      <w:pPr>
        <w:pStyle w:val="my-2"/>
      </w:pPr>
      <w:r>
        <w:t>Another important element is the role of platforms. In China, large technology companies function as governance intermediaries. They are responsible for implementing regulatory requirements through system design, content moderation, data management, and compliance processes. This is not simply private self-regulation. It is a form of delegated governance in which platforms operationalize Party-state directives. Students should understand this as a key institutional mechanism: governance is distributed across actors but coordinated through political authority.</w:t>
      </w:r>
    </w:p>
    <w:p w14:paraId="5C59FDB2" w14:textId="77777777" w:rsidR="000A7E1E" w:rsidRDefault="000A7E1E" w:rsidP="000A7E1E">
      <w:pPr>
        <w:pStyle w:val="my-2"/>
      </w:pPr>
      <w:r>
        <w:t>The lecture also emphasizes that China’s model includes strong support for AI development. Through industrial policy, the state promotes research, infrastructure, talent development, and domestic technological capacity. AI is central to economic modernization and geopolitical competition, particularly in light of external constraints such as export controls. This reinforces the development side of the development-security dialectic.</w:t>
      </w:r>
    </w:p>
    <w:p w14:paraId="03668A1B" w14:textId="77777777" w:rsidR="000A7E1E" w:rsidRDefault="000A7E1E" w:rsidP="000A7E1E">
      <w:pPr>
        <w:pStyle w:val="my-2"/>
      </w:pPr>
      <w:r>
        <w:t>China’s global positioning on AI governance reflects similar themes. It emphasizes sovereignty, development rights, multilateral cooperation, and opposition to technological dominance by a few states. At the same time, its domestic system prioritizes control, alignment, and state authority. Students should understand this as a sovereignty-based approach: each state is seen as having the right to govern AI according to its own political system.</w:t>
      </w:r>
    </w:p>
    <w:p w14:paraId="0FCCEBA1" w14:textId="77777777" w:rsidR="000A7E1E" w:rsidRDefault="000A7E1E" w:rsidP="000A7E1E">
      <w:pPr>
        <w:pStyle w:val="my-2"/>
      </w:pPr>
      <w:r>
        <w:t>Finally, the lecture encourages students to think comparatively. The key question is not which system regulates AI more, but how each system defines AI and what it is for. In the United States, AI is primarily an innovation and market-driven technology. In the European Union, it is a risk-bearing system that must be aligned with rights and safety. In China, it is strategic infrastructure for socialist modernization and governance. These differences shape not only legal rules but also institutional design, enforcement, and the broader relationship between technology and society.</w:t>
      </w:r>
    </w:p>
    <w:p w14:paraId="43782D58" w14:textId="77777777" w:rsidR="000A7E1E" w:rsidRDefault="000A7E1E" w:rsidP="000A7E1E">
      <w:pPr>
        <w:pStyle w:val="my-2"/>
      </w:pPr>
      <w:r>
        <w:t>Students should leave the lecture with a clear understanding that China’s AI governance model is coordinated, state-centered, and developmentally oriented, with security and ideological alignment embedded throughout. The central analytical question is whether this model can sustain innovation while maintaining the levels of control and coherence that define its approach.</w:t>
      </w:r>
    </w:p>
    <w:p w14:paraId="744B8CDA" w14:textId="77777777" w:rsidR="000A7E1E" w:rsidRDefault="000A7E1E" w:rsidP="000A7E1E">
      <w:pPr>
        <w:pStyle w:val="my-2"/>
      </w:pPr>
    </w:p>
    <w:p w14:paraId="556EA1C0" w14:textId="77777777" w:rsidR="000A7E1E" w:rsidRPr="000A7E1E" w:rsidRDefault="000A7E1E"/>
    <w:sectPr w:rsidR="000A7E1E" w:rsidRPr="000A7E1E" w:rsidSect="00701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Bodoni 72">
    <w:panose1 w:val="00000400000000000000"/>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1E"/>
    <w:rsid w:val="000001E1"/>
    <w:rsid w:val="00005AEB"/>
    <w:rsid w:val="00036D9F"/>
    <w:rsid w:val="0004589F"/>
    <w:rsid w:val="00080F61"/>
    <w:rsid w:val="00084877"/>
    <w:rsid w:val="000A7E1E"/>
    <w:rsid w:val="000B16BF"/>
    <w:rsid w:val="000C441B"/>
    <w:rsid w:val="000D5AB8"/>
    <w:rsid w:val="000E0A80"/>
    <w:rsid w:val="000E488C"/>
    <w:rsid w:val="000E5A29"/>
    <w:rsid w:val="000E6201"/>
    <w:rsid w:val="00103510"/>
    <w:rsid w:val="0011374F"/>
    <w:rsid w:val="001300AB"/>
    <w:rsid w:val="00130B6F"/>
    <w:rsid w:val="001647B2"/>
    <w:rsid w:val="00195A36"/>
    <w:rsid w:val="00196FEA"/>
    <w:rsid w:val="001A060C"/>
    <w:rsid w:val="001A118E"/>
    <w:rsid w:val="001A4D88"/>
    <w:rsid w:val="001B4AB2"/>
    <w:rsid w:val="001B7C76"/>
    <w:rsid w:val="001C35A2"/>
    <w:rsid w:val="001C4CC0"/>
    <w:rsid w:val="001C6986"/>
    <w:rsid w:val="001D5B3F"/>
    <w:rsid w:val="001E1D04"/>
    <w:rsid w:val="001E3668"/>
    <w:rsid w:val="001E60E8"/>
    <w:rsid w:val="001F1E43"/>
    <w:rsid w:val="001F21E5"/>
    <w:rsid w:val="00202F27"/>
    <w:rsid w:val="002049A9"/>
    <w:rsid w:val="00212428"/>
    <w:rsid w:val="002232F2"/>
    <w:rsid w:val="00227EF9"/>
    <w:rsid w:val="00231BD9"/>
    <w:rsid w:val="002367CB"/>
    <w:rsid w:val="002431D6"/>
    <w:rsid w:val="002519F6"/>
    <w:rsid w:val="0025331E"/>
    <w:rsid w:val="0026513F"/>
    <w:rsid w:val="00275173"/>
    <w:rsid w:val="00284D93"/>
    <w:rsid w:val="002979EF"/>
    <w:rsid w:val="002B2FAC"/>
    <w:rsid w:val="002C102D"/>
    <w:rsid w:val="002C7209"/>
    <w:rsid w:val="002D1F0F"/>
    <w:rsid w:val="002E456C"/>
    <w:rsid w:val="002E64A5"/>
    <w:rsid w:val="00303489"/>
    <w:rsid w:val="00307CC3"/>
    <w:rsid w:val="00313C84"/>
    <w:rsid w:val="00320187"/>
    <w:rsid w:val="0033524D"/>
    <w:rsid w:val="00337D72"/>
    <w:rsid w:val="00342882"/>
    <w:rsid w:val="00343A7B"/>
    <w:rsid w:val="00345591"/>
    <w:rsid w:val="00347230"/>
    <w:rsid w:val="003542D6"/>
    <w:rsid w:val="00357393"/>
    <w:rsid w:val="003574BD"/>
    <w:rsid w:val="00362DE2"/>
    <w:rsid w:val="003731A2"/>
    <w:rsid w:val="003853D8"/>
    <w:rsid w:val="003853EF"/>
    <w:rsid w:val="00386EF3"/>
    <w:rsid w:val="003A188E"/>
    <w:rsid w:val="003B6955"/>
    <w:rsid w:val="003C00A1"/>
    <w:rsid w:val="003C6DAC"/>
    <w:rsid w:val="003D11FE"/>
    <w:rsid w:val="003E081C"/>
    <w:rsid w:val="003E2132"/>
    <w:rsid w:val="003E3F81"/>
    <w:rsid w:val="003E3FBE"/>
    <w:rsid w:val="003F0195"/>
    <w:rsid w:val="003F085C"/>
    <w:rsid w:val="00423D55"/>
    <w:rsid w:val="00437CAA"/>
    <w:rsid w:val="0044776B"/>
    <w:rsid w:val="00451953"/>
    <w:rsid w:val="004669A2"/>
    <w:rsid w:val="0047064A"/>
    <w:rsid w:val="00471B94"/>
    <w:rsid w:val="00484A1B"/>
    <w:rsid w:val="0049760A"/>
    <w:rsid w:val="004A4926"/>
    <w:rsid w:val="004D0F78"/>
    <w:rsid w:val="004D3977"/>
    <w:rsid w:val="004D4A4B"/>
    <w:rsid w:val="004E2D94"/>
    <w:rsid w:val="004E51D2"/>
    <w:rsid w:val="004F1627"/>
    <w:rsid w:val="004F7DEA"/>
    <w:rsid w:val="00500950"/>
    <w:rsid w:val="00510E4F"/>
    <w:rsid w:val="005122D9"/>
    <w:rsid w:val="005270FD"/>
    <w:rsid w:val="00527AFE"/>
    <w:rsid w:val="00532133"/>
    <w:rsid w:val="00543739"/>
    <w:rsid w:val="00546611"/>
    <w:rsid w:val="00552591"/>
    <w:rsid w:val="00561EFF"/>
    <w:rsid w:val="00566423"/>
    <w:rsid w:val="00572582"/>
    <w:rsid w:val="00586499"/>
    <w:rsid w:val="00593C54"/>
    <w:rsid w:val="005A3FB8"/>
    <w:rsid w:val="005B297A"/>
    <w:rsid w:val="005C1E5E"/>
    <w:rsid w:val="005D3C16"/>
    <w:rsid w:val="005D4225"/>
    <w:rsid w:val="005D6A7F"/>
    <w:rsid w:val="005E15B0"/>
    <w:rsid w:val="005F271D"/>
    <w:rsid w:val="005F6139"/>
    <w:rsid w:val="005F7EF0"/>
    <w:rsid w:val="006041EC"/>
    <w:rsid w:val="00617254"/>
    <w:rsid w:val="006229AB"/>
    <w:rsid w:val="0062606F"/>
    <w:rsid w:val="006427E7"/>
    <w:rsid w:val="006468A7"/>
    <w:rsid w:val="00665879"/>
    <w:rsid w:val="00667967"/>
    <w:rsid w:val="00667CFB"/>
    <w:rsid w:val="00670B76"/>
    <w:rsid w:val="00675B48"/>
    <w:rsid w:val="00676348"/>
    <w:rsid w:val="00676611"/>
    <w:rsid w:val="00683002"/>
    <w:rsid w:val="00684698"/>
    <w:rsid w:val="006908CD"/>
    <w:rsid w:val="00696C2D"/>
    <w:rsid w:val="006C0F15"/>
    <w:rsid w:val="006E50B4"/>
    <w:rsid w:val="006E7135"/>
    <w:rsid w:val="00701E7B"/>
    <w:rsid w:val="007215CC"/>
    <w:rsid w:val="007217C3"/>
    <w:rsid w:val="007242B8"/>
    <w:rsid w:val="00742ABE"/>
    <w:rsid w:val="007537D4"/>
    <w:rsid w:val="007663AF"/>
    <w:rsid w:val="00771AF9"/>
    <w:rsid w:val="007747AB"/>
    <w:rsid w:val="007759B4"/>
    <w:rsid w:val="007820D1"/>
    <w:rsid w:val="007A66AF"/>
    <w:rsid w:val="007B79A1"/>
    <w:rsid w:val="007C171B"/>
    <w:rsid w:val="007C4A65"/>
    <w:rsid w:val="007D0677"/>
    <w:rsid w:val="007F5D4C"/>
    <w:rsid w:val="008035AB"/>
    <w:rsid w:val="00804988"/>
    <w:rsid w:val="00807FBA"/>
    <w:rsid w:val="00812431"/>
    <w:rsid w:val="00820A8A"/>
    <w:rsid w:val="00827887"/>
    <w:rsid w:val="00853FD0"/>
    <w:rsid w:val="00856AAD"/>
    <w:rsid w:val="00861AD5"/>
    <w:rsid w:val="00866E41"/>
    <w:rsid w:val="008778DB"/>
    <w:rsid w:val="00886663"/>
    <w:rsid w:val="008A32AD"/>
    <w:rsid w:val="008B7BBA"/>
    <w:rsid w:val="008C15E7"/>
    <w:rsid w:val="008C3D6C"/>
    <w:rsid w:val="008D2731"/>
    <w:rsid w:val="008D2F60"/>
    <w:rsid w:val="008D619A"/>
    <w:rsid w:val="00900D67"/>
    <w:rsid w:val="009404C2"/>
    <w:rsid w:val="00941EB7"/>
    <w:rsid w:val="0095124E"/>
    <w:rsid w:val="00960068"/>
    <w:rsid w:val="009759B6"/>
    <w:rsid w:val="00980256"/>
    <w:rsid w:val="00983C09"/>
    <w:rsid w:val="009958F3"/>
    <w:rsid w:val="00997322"/>
    <w:rsid w:val="009A1973"/>
    <w:rsid w:val="009B4BB5"/>
    <w:rsid w:val="009D1EE6"/>
    <w:rsid w:val="009D279D"/>
    <w:rsid w:val="009E6DB8"/>
    <w:rsid w:val="009F543E"/>
    <w:rsid w:val="009F5739"/>
    <w:rsid w:val="00A06289"/>
    <w:rsid w:val="00A11167"/>
    <w:rsid w:val="00A201DF"/>
    <w:rsid w:val="00A32934"/>
    <w:rsid w:val="00A36387"/>
    <w:rsid w:val="00A52273"/>
    <w:rsid w:val="00A54D55"/>
    <w:rsid w:val="00A565F3"/>
    <w:rsid w:val="00A60FA4"/>
    <w:rsid w:val="00A612B0"/>
    <w:rsid w:val="00A76FB7"/>
    <w:rsid w:val="00A77BDB"/>
    <w:rsid w:val="00A81FD8"/>
    <w:rsid w:val="00A8573B"/>
    <w:rsid w:val="00A85A22"/>
    <w:rsid w:val="00A86FCA"/>
    <w:rsid w:val="00A92209"/>
    <w:rsid w:val="00A958EF"/>
    <w:rsid w:val="00A96D64"/>
    <w:rsid w:val="00AA73C4"/>
    <w:rsid w:val="00AB2666"/>
    <w:rsid w:val="00AB43F4"/>
    <w:rsid w:val="00AD518A"/>
    <w:rsid w:val="00B0267B"/>
    <w:rsid w:val="00B133C5"/>
    <w:rsid w:val="00B16D08"/>
    <w:rsid w:val="00B33E4F"/>
    <w:rsid w:val="00B41D3B"/>
    <w:rsid w:val="00B439F2"/>
    <w:rsid w:val="00B54BBA"/>
    <w:rsid w:val="00B56678"/>
    <w:rsid w:val="00B84259"/>
    <w:rsid w:val="00B85793"/>
    <w:rsid w:val="00B85F98"/>
    <w:rsid w:val="00BB08D8"/>
    <w:rsid w:val="00BB160F"/>
    <w:rsid w:val="00BB2AEF"/>
    <w:rsid w:val="00BB4FA9"/>
    <w:rsid w:val="00BC216C"/>
    <w:rsid w:val="00BD1220"/>
    <w:rsid w:val="00BD25B5"/>
    <w:rsid w:val="00BF1EEF"/>
    <w:rsid w:val="00C00CD5"/>
    <w:rsid w:val="00C2042C"/>
    <w:rsid w:val="00C244E5"/>
    <w:rsid w:val="00C35651"/>
    <w:rsid w:val="00C36DC3"/>
    <w:rsid w:val="00C44B41"/>
    <w:rsid w:val="00C53BEF"/>
    <w:rsid w:val="00C60C0D"/>
    <w:rsid w:val="00C66979"/>
    <w:rsid w:val="00C716B4"/>
    <w:rsid w:val="00C74C93"/>
    <w:rsid w:val="00C8095A"/>
    <w:rsid w:val="00C81BCB"/>
    <w:rsid w:val="00C862A2"/>
    <w:rsid w:val="00C86774"/>
    <w:rsid w:val="00CB2722"/>
    <w:rsid w:val="00CC03D9"/>
    <w:rsid w:val="00CC474D"/>
    <w:rsid w:val="00CC68D7"/>
    <w:rsid w:val="00CD010C"/>
    <w:rsid w:val="00CD1EA9"/>
    <w:rsid w:val="00CD3BA2"/>
    <w:rsid w:val="00CD7961"/>
    <w:rsid w:val="00CE31C0"/>
    <w:rsid w:val="00CF7F4A"/>
    <w:rsid w:val="00D00A07"/>
    <w:rsid w:val="00D0535E"/>
    <w:rsid w:val="00D10703"/>
    <w:rsid w:val="00D118F1"/>
    <w:rsid w:val="00D27114"/>
    <w:rsid w:val="00D3331F"/>
    <w:rsid w:val="00D3541E"/>
    <w:rsid w:val="00D46E9A"/>
    <w:rsid w:val="00D47FBA"/>
    <w:rsid w:val="00D62B7E"/>
    <w:rsid w:val="00D64D08"/>
    <w:rsid w:val="00DB3163"/>
    <w:rsid w:val="00DB475D"/>
    <w:rsid w:val="00DC5D3C"/>
    <w:rsid w:val="00DC71B3"/>
    <w:rsid w:val="00DD27B1"/>
    <w:rsid w:val="00DD6170"/>
    <w:rsid w:val="00DD6C97"/>
    <w:rsid w:val="00DE45D3"/>
    <w:rsid w:val="00DE74F5"/>
    <w:rsid w:val="00E06937"/>
    <w:rsid w:val="00E121DD"/>
    <w:rsid w:val="00E12D5F"/>
    <w:rsid w:val="00E13131"/>
    <w:rsid w:val="00E14948"/>
    <w:rsid w:val="00E21BE5"/>
    <w:rsid w:val="00E21E8A"/>
    <w:rsid w:val="00E23955"/>
    <w:rsid w:val="00E24B59"/>
    <w:rsid w:val="00E25AE3"/>
    <w:rsid w:val="00E27066"/>
    <w:rsid w:val="00E32F44"/>
    <w:rsid w:val="00E33ECA"/>
    <w:rsid w:val="00E54A6A"/>
    <w:rsid w:val="00E7117C"/>
    <w:rsid w:val="00E75316"/>
    <w:rsid w:val="00E82747"/>
    <w:rsid w:val="00E849E0"/>
    <w:rsid w:val="00E85273"/>
    <w:rsid w:val="00E857EA"/>
    <w:rsid w:val="00E952AB"/>
    <w:rsid w:val="00EA0232"/>
    <w:rsid w:val="00EA0258"/>
    <w:rsid w:val="00EB3790"/>
    <w:rsid w:val="00EC65DA"/>
    <w:rsid w:val="00ED2AE7"/>
    <w:rsid w:val="00EE279B"/>
    <w:rsid w:val="00EE5AE9"/>
    <w:rsid w:val="00F0077F"/>
    <w:rsid w:val="00F01822"/>
    <w:rsid w:val="00F043DA"/>
    <w:rsid w:val="00F04C74"/>
    <w:rsid w:val="00F06866"/>
    <w:rsid w:val="00F30CF2"/>
    <w:rsid w:val="00F30F4C"/>
    <w:rsid w:val="00F4001E"/>
    <w:rsid w:val="00F40604"/>
    <w:rsid w:val="00F44D2C"/>
    <w:rsid w:val="00F510C7"/>
    <w:rsid w:val="00F51885"/>
    <w:rsid w:val="00F528A0"/>
    <w:rsid w:val="00F5513B"/>
    <w:rsid w:val="00F563B6"/>
    <w:rsid w:val="00F6589C"/>
    <w:rsid w:val="00F65AB0"/>
    <w:rsid w:val="00F673BF"/>
    <w:rsid w:val="00F71E01"/>
    <w:rsid w:val="00F82578"/>
    <w:rsid w:val="00F873A5"/>
    <w:rsid w:val="00F9005F"/>
    <w:rsid w:val="00F91980"/>
    <w:rsid w:val="00FA059F"/>
    <w:rsid w:val="00FB7B11"/>
    <w:rsid w:val="00FC0673"/>
    <w:rsid w:val="00FC1EC2"/>
    <w:rsid w:val="00FD1F6C"/>
    <w:rsid w:val="00FD3A3C"/>
    <w:rsid w:val="00FD5AAF"/>
    <w:rsid w:val="00FF007C"/>
    <w:rsid w:val="00FF16C3"/>
    <w:rsid w:val="00FF2435"/>
    <w:rsid w:val="00FF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810472C"/>
  <w15:chartTrackingRefBased/>
  <w15:docId w15:val="{0E715C19-A95F-9A47-B75B-D61A52FA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Bodoni 72" w:eastAsiaTheme="minorEastAsia" w:hAnsi="Bodoni 72" w:cs="Times New Roman (Body CS)"/>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E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E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A7E1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A7E1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7E1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7E1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7E1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E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E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E1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E1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A7E1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A7E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7E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7E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7E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7E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E1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E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7E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7E1E"/>
    <w:rPr>
      <w:i/>
      <w:iCs/>
      <w:color w:val="404040" w:themeColor="text1" w:themeTint="BF"/>
    </w:rPr>
  </w:style>
  <w:style w:type="paragraph" w:styleId="ListParagraph">
    <w:name w:val="List Paragraph"/>
    <w:basedOn w:val="Normal"/>
    <w:uiPriority w:val="34"/>
    <w:qFormat/>
    <w:rsid w:val="000A7E1E"/>
    <w:pPr>
      <w:ind w:left="720"/>
      <w:contextualSpacing/>
    </w:pPr>
  </w:style>
  <w:style w:type="character" w:styleId="IntenseEmphasis">
    <w:name w:val="Intense Emphasis"/>
    <w:basedOn w:val="DefaultParagraphFont"/>
    <w:uiPriority w:val="21"/>
    <w:qFormat/>
    <w:rsid w:val="000A7E1E"/>
    <w:rPr>
      <w:i/>
      <w:iCs/>
      <w:color w:val="0F4761" w:themeColor="accent1" w:themeShade="BF"/>
    </w:rPr>
  </w:style>
  <w:style w:type="paragraph" w:styleId="IntenseQuote">
    <w:name w:val="Intense Quote"/>
    <w:basedOn w:val="Normal"/>
    <w:next w:val="Normal"/>
    <w:link w:val="IntenseQuoteChar"/>
    <w:uiPriority w:val="30"/>
    <w:qFormat/>
    <w:rsid w:val="000A7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E1E"/>
    <w:rPr>
      <w:i/>
      <w:iCs/>
      <w:color w:val="0F4761" w:themeColor="accent1" w:themeShade="BF"/>
    </w:rPr>
  </w:style>
  <w:style w:type="character" w:styleId="IntenseReference">
    <w:name w:val="Intense Reference"/>
    <w:basedOn w:val="DefaultParagraphFont"/>
    <w:uiPriority w:val="32"/>
    <w:qFormat/>
    <w:rsid w:val="000A7E1E"/>
    <w:rPr>
      <w:b/>
      <w:bCs/>
      <w:smallCaps/>
      <w:color w:val="0F4761" w:themeColor="accent1" w:themeShade="BF"/>
      <w:spacing w:val="5"/>
    </w:rPr>
  </w:style>
  <w:style w:type="paragraph" w:customStyle="1" w:styleId="my-2">
    <w:name w:val="my-2"/>
    <w:basedOn w:val="Normal"/>
    <w:rsid w:val="000A7E1E"/>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3105</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Larry Cata</dc:creator>
  <cp:keywords/>
  <dc:description/>
  <cp:lastModifiedBy>Backer, Larry Cata</cp:lastModifiedBy>
  <cp:revision>1</cp:revision>
  <dcterms:created xsi:type="dcterms:W3CDTF">2026-06-19T21:02:00Z</dcterms:created>
  <dcterms:modified xsi:type="dcterms:W3CDTF">2026-06-20T01:21:00Z</dcterms:modified>
</cp:coreProperties>
</file>