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19550" w14:textId="77777777" w:rsidR="00D4598E" w:rsidRDefault="00D4598E">
      <w:r>
        <w:object w:dxaOrig="13411" w:dyaOrig="12102" w14:anchorId="45AA2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96.65pt" o:ole="">
            <v:imagedata r:id="rId9" o:title=""/>
          </v:shape>
          <o:OLEObject Type="Embed" ProgID="Unknown" ShapeID="_x0000_i1025" DrawAspect="Content" ObjectID="_1335692541" r:id="rId10"/>
        </w:object>
      </w:r>
    </w:p>
    <w:p w14:paraId="3999E2FF" w14:textId="77777777" w:rsidR="00D4598E" w:rsidRDefault="00D4598E"/>
    <w:p w14:paraId="5FA62EAC" w14:textId="77777777" w:rsidR="00D4598E" w:rsidRPr="00646367" w:rsidRDefault="00D4598E">
      <w:pPr>
        <w:rPr>
          <w:rFonts w:ascii="Trajan Pro" w:hAnsi="Trajan Pro"/>
          <w:sz w:val="40"/>
          <w:szCs w:val="40"/>
        </w:rPr>
      </w:pPr>
      <w:r w:rsidRPr="00646367">
        <w:rPr>
          <w:rFonts w:ascii="Trajan Pro" w:hAnsi="Trajan Pro"/>
          <w:sz w:val="40"/>
          <w:szCs w:val="40"/>
        </w:rPr>
        <w:t>Working Papers</w:t>
      </w:r>
    </w:p>
    <w:p w14:paraId="055954C1" w14:textId="77777777" w:rsidR="00D4598E" w:rsidRDefault="00D4598E">
      <w:pPr>
        <w:rPr>
          <w:rFonts w:ascii="Charlemagne Std Bold" w:hAnsi="Charlemagne Std Bold"/>
          <w:sz w:val="40"/>
          <w:szCs w:val="40"/>
        </w:rPr>
      </w:pPr>
    </w:p>
    <w:p w14:paraId="4F15228A" w14:textId="77777777" w:rsidR="00D4598E" w:rsidRPr="00646367" w:rsidRDefault="00D4598E" w:rsidP="00017316">
      <w:pPr>
        <w:jc w:val="center"/>
        <w:rPr>
          <w:rFonts w:ascii="Trajan Pro" w:hAnsi="Trajan Pro"/>
          <w:sz w:val="28"/>
          <w:szCs w:val="28"/>
        </w:rPr>
      </w:pPr>
      <w:r w:rsidRPr="00646367">
        <w:rPr>
          <w:rFonts w:ascii="Trajan Pro" w:hAnsi="Trajan Pro"/>
          <w:sz w:val="28"/>
          <w:szCs w:val="28"/>
        </w:rPr>
        <w:t xml:space="preserve">No. </w:t>
      </w:r>
      <w:r>
        <w:rPr>
          <w:rFonts w:ascii="Trajan Pro" w:hAnsi="Trajan Pro"/>
          <w:sz w:val="28"/>
          <w:szCs w:val="28"/>
        </w:rPr>
        <w:t>5/1</w:t>
      </w:r>
      <w:r w:rsidRPr="00646367">
        <w:rPr>
          <w:rFonts w:ascii="Trajan Pro" w:hAnsi="Trajan Pro"/>
          <w:sz w:val="28"/>
          <w:szCs w:val="28"/>
        </w:rPr>
        <w:t xml:space="preserve"> (</w:t>
      </w:r>
      <w:r>
        <w:rPr>
          <w:rFonts w:ascii="Trajan Pro" w:hAnsi="Trajan Pro"/>
          <w:sz w:val="28"/>
          <w:szCs w:val="28"/>
        </w:rPr>
        <w:t>May 2014</w:t>
      </w:r>
      <w:r w:rsidRPr="00646367">
        <w:rPr>
          <w:rFonts w:ascii="Trajan Pro" w:hAnsi="Trajan Pro"/>
          <w:sz w:val="28"/>
          <w:szCs w:val="28"/>
        </w:rPr>
        <w:t>)</w:t>
      </w:r>
    </w:p>
    <w:p w14:paraId="78DAEB56" w14:textId="77777777" w:rsidR="00D4598E" w:rsidRDefault="00D4598E" w:rsidP="00B415A1">
      <w:pPr>
        <w:pStyle w:val="Title"/>
        <w:rPr>
          <w:rFonts w:ascii="Times New Roman" w:hAnsi="Times New Roman" w:cs="Times New Roman"/>
          <w:sz w:val="36"/>
          <w:szCs w:val="36"/>
          <w:highlight w:val="white"/>
        </w:rPr>
      </w:pPr>
    </w:p>
    <w:p w14:paraId="01832EF8" w14:textId="77777777" w:rsidR="00F34D15" w:rsidRPr="00D4598E" w:rsidRDefault="008D62EF" w:rsidP="00B415A1">
      <w:pPr>
        <w:pStyle w:val="Title"/>
        <w:rPr>
          <w:rFonts w:ascii="Times New Roman" w:hAnsi="Times New Roman" w:cs="Times New Roman"/>
          <w:sz w:val="36"/>
          <w:szCs w:val="36"/>
        </w:rPr>
      </w:pPr>
      <w:r w:rsidRPr="00D4598E">
        <w:rPr>
          <w:rFonts w:ascii="Times New Roman" w:hAnsi="Times New Roman" w:cs="Times New Roman"/>
          <w:sz w:val="36"/>
          <w:szCs w:val="36"/>
          <w:highlight w:val="white"/>
        </w:rPr>
        <w:t xml:space="preserve">International Organizations and </w:t>
      </w:r>
      <w:r w:rsidR="0072798B" w:rsidRPr="00D4598E">
        <w:rPr>
          <w:rFonts w:ascii="Times New Roman" w:hAnsi="Times New Roman" w:cs="Times New Roman"/>
          <w:sz w:val="36"/>
          <w:szCs w:val="36"/>
          <w:highlight w:val="white"/>
        </w:rPr>
        <w:t>Participatory Global Citizenship</w:t>
      </w:r>
      <w:r w:rsidR="00F34D15" w:rsidRPr="00D4598E">
        <w:rPr>
          <w:rFonts w:ascii="Times New Roman" w:hAnsi="Times New Roman" w:cs="Times New Roman"/>
          <w:sz w:val="36"/>
          <w:szCs w:val="36"/>
          <w:highlight w:val="white"/>
        </w:rPr>
        <w:t xml:space="preserve">: Civic Education </w:t>
      </w:r>
      <w:r w:rsidR="00C0349A" w:rsidRPr="00D4598E">
        <w:rPr>
          <w:rFonts w:ascii="Times New Roman" w:hAnsi="Times New Roman" w:cs="Times New Roman"/>
          <w:sz w:val="36"/>
          <w:szCs w:val="36"/>
          <w:highlight w:val="white"/>
        </w:rPr>
        <w:t>beyond</w:t>
      </w:r>
      <w:r w:rsidR="00F34D15" w:rsidRPr="00D4598E">
        <w:rPr>
          <w:rFonts w:ascii="Times New Roman" w:hAnsi="Times New Roman" w:cs="Times New Roman"/>
          <w:sz w:val="36"/>
          <w:szCs w:val="36"/>
          <w:highlight w:val="white"/>
        </w:rPr>
        <w:t xml:space="preserve"> Territoriality </w:t>
      </w:r>
    </w:p>
    <w:p w14:paraId="20AD82CA" w14:textId="77777777" w:rsidR="00F34D15" w:rsidRPr="00D80DE7" w:rsidRDefault="00D80DE7" w:rsidP="0044042E">
      <w:pPr>
        <w:spacing w:line="240" w:lineRule="auto"/>
        <w:contextualSpacing/>
        <w:jc w:val="both"/>
        <w:rPr>
          <w:rFonts w:ascii="Times New Roman" w:eastAsia="Times New Roman" w:hAnsi="Times New Roman" w:cs="Times New Roman"/>
          <w:b/>
          <w:sz w:val="24"/>
        </w:rPr>
      </w:pPr>
      <w:proofErr w:type="spellStart"/>
      <w:r w:rsidRPr="00D80DE7">
        <w:rPr>
          <w:rFonts w:ascii="Times New Roman" w:eastAsia="Times New Roman" w:hAnsi="Times New Roman" w:cs="Times New Roman"/>
          <w:b/>
          <w:sz w:val="24"/>
        </w:rPr>
        <w:t>Keren</w:t>
      </w:r>
      <w:proofErr w:type="spellEnd"/>
      <w:r w:rsidRPr="00D80DE7">
        <w:rPr>
          <w:rFonts w:ascii="Times New Roman" w:eastAsia="Times New Roman" w:hAnsi="Times New Roman" w:cs="Times New Roman"/>
          <w:b/>
          <w:sz w:val="24"/>
        </w:rPr>
        <w:t xml:space="preserve"> Wang</w:t>
      </w:r>
    </w:p>
    <w:p w14:paraId="3B7F36AF" w14:textId="77777777" w:rsidR="00F34D15" w:rsidRPr="00EF7A50" w:rsidRDefault="00D80DE7" w:rsidP="0044042E">
      <w:pPr>
        <w:spacing w:line="240" w:lineRule="auto"/>
        <w:contextualSpacing/>
        <w:jc w:val="both"/>
        <w:rPr>
          <w:rFonts w:ascii="Times New Roman" w:eastAsiaTheme="minorEastAsia" w:hAnsi="Times New Roman" w:cs="Times New Roman"/>
          <w:b/>
          <w:sz w:val="24"/>
          <w:lang w:eastAsia="zh-CN"/>
        </w:rPr>
      </w:pPr>
      <w:r w:rsidRPr="00D80DE7">
        <w:rPr>
          <w:rFonts w:ascii="Times New Roman" w:eastAsia="Times New Roman" w:hAnsi="Times New Roman" w:cs="Times New Roman"/>
          <w:b/>
          <w:sz w:val="24"/>
        </w:rPr>
        <w:t xml:space="preserve">Penn State </w:t>
      </w:r>
      <w:r w:rsidR="00F34D15" w:rsidRPr="00D80DE7">
        <w:rPr>
          <w:rFonts w:ascii="Times New Roman" w:eastAsia="Times New Roman" w:hAnsi="Times New Roman" w:cs="Times New Roman"/>
          <w:b/>
          <w:sz w:val="24"/>
        </w:rPr>
        <w:t>University</w:t>
      </w:r>
    </w:p>
    <w:p w14:paraId="1A619881" w14:textId="77777777" w:rsidR="00C0349A" w:rsidRPr="00D80DE7" w:rsidRDefault="00C0349A" w:rsidP="0044042E">
      <w:pPr>
        <w:spacing w:line="240" w:lineRule="auto"/>
        <w:contextualSpacing/>
        <w:jc w:val="both"/>
        <w:rPr>
          <w:rFonts w:ascii="Times New Roman" w:eastAsia="Times New Roman" w:hAnsi="Times New Roman" w:cs="Times New Roman"/>
          <w:b/>
          <w:sz w:val="24"/>
        </w:rPr>
      </w:pPr>
    </w:p>
    <w:p w14:paraId="2D243C38" w14:textId="77777777" w:rsidR="00F34D15" w:rsidRPr="00D80DE7" w:rsidRDefault="00D80DE7" w:rsidP="0044042E">
      <w:pPr>
        <w:spacing w:line="240" w:lineRule="auto"/>
        <w:contextualSpacing/>
        <w:jc w:val="both"/>
        <w:rPr>
          <w:rFonts w:ascii="Times New Roman" w:eastAsia="Times New Roman" w:hAnsi="Times New Roman" w:cs="Times New Roman"/>
          <w:b/>
          <w:sz w:val="24"/>
        </w:rPr>
      </w:pPr>
      <w:proofErr w:type="spellStart"/>
      <w:r w:rsidRPr="00D80DE7">
        <w:rPr>
          <w:rFonts w:ascii="Times New Roman" w:eastAsia="Times New Roman" w:hAnsi="Times New Roman" w:cs="Times New Roman"/>
          <w:b/>
          <w:sz w:val="24"/>
        </w:rPr>
        <w:t>Nabih</w:t>
      </w:r>
      <w:proofErr w:type="spellEnd"/>
      <w:r w:rsidRPr="00D80DE7">
        <w:rPr>
          <w:rFonts w:ascii="Times New Roman" w:eastAsia="Times New Roman" w:hAnsi="Times New Roman" w:cs="Times New Roman"/>
          <w:b/>
          <w:sz w:val="24"/>
        </w:rPr>
        <w:t xml:space="preserve"> Haddad</w:t>
      </w:r>
    </w:p>
    <w:p w14:paraId="62270263" w14:textId="77777777" w:rsidR="00F34D15" w:rsidRPr="00D80DE7" w:rsidRDefault="00D80DE7" w:rsidP="0044042E">
      <w:pPr>
        <w:spacing w:line="240" w:lineRule="auto"/>
        <w:contextualSpacing/>
        <w:jc w:val="both"/>
        <w:rPr>
          <w:rFonts w:ascii="Times New Roman" w:hAnsi="Times New Roman" w:cs="Times New Roman"/>
          <w:b/>
        </w:rPr>
      </w:pPr>
      <w:r w:rsidRPr="00D80DE7">
        <w:rPr>
          <w:rFonts w:ascii="Times New Roman" w:eastAsia="Times New Roman" w:hAnsi="Times New Roman" w:cs="Times New Roman"/>
          <w:b/>
          <w:sz w:val="24"/>
        </w:rPr>
        <w:t xml:space="preserve">Michigan State </w:t>
      </w:r>
      <w:r w:rsidR="00F34D15" w:rsidRPr="00D80DE7">
        <w:rPr>
          <w:rFonts w:ascii="Times New Roman" w:eastAsia="Times New Roman" w:hAnsi="Times New Roman" w:cs="Times New Roman"/>
          <w:b/>
          <w:sz w:val="24"/>
        </w:rPr>
        <w:t>University</w:t>
      </w:r>
    </w:p>
    <w:p w14:paraId="0D938C33" w14:textId="77777777" w:rsidR="00D80DE7" w:rsidRDefault="00D80DE7" w:rsidP="0044042E">
      <w:pPr>
        <w:spacing w:line="240" w:lineRule="auto"/>
        <w:contextualSpacing/>
        <w:jc w:val="both"/>
        <w:rPr>
          <w:rFonts w:ascii="Times New Roman" w:eastAsia="Times New Roman" w:hAnsi="Times New Roman" w:cs="Times New Roman"/>
          <w:b/>
          <w:sz w:val="24"/>
          <w:szCs w:val="24"/>
          <w:highlight w:val="white"/>
        </w:rPr>
      </w:pPr>
    </w:p>
    <w:p w14:paraId="70763A25" w14:textId="77777777" w:rsidR="00C0349A" w:rsidRPr="00D4598E" w:rsidRDefault="00D80DE7" w:rsidP="0044042E">
      <w:pPr>
        <w:spacing w:line="240" w:lineRule="auto"/>
        <w:contextualSpacing/>
        <w:jc w:val="both"/>
        <w:rPr>
          <w:rFonts w:ascii="Times New Roman" w:eastAsia="Times New Roman" w:hAnsi="Times New Roman" w:cs="Times New Roman"/>
          <w:sz w:val="20"/>
          <w:highlight w:val="white"/>
        </w:rPr>
      </w:pPr>
      <w:r w:rsidRPr="00D4598E">
        <w:rPr>
          <w:rFonts w:ascii="Times New Roman" w:eastAsia="Times New Roman" w:hAnsi="Times New Roman" w:cs="Times New Roman"/>
          <w:b/>
          <w:sz w:val="20"/>
          <w:highlight w:val="white"/>
        </w:rPr>
        <w:t>Abstract:</w:t>
      </w:r>
      <w:r w:rsidRPr="00D4598E">
        <w:rPr>
          <w:rFonts w:ascii="Times New Roman" w:eastAsia="Times New Roman" w:hAnsi="Times New Roman" w:cs="Times New Roman"/>
          <w:sz w:val="20"/>
          <w:highlight w:val="white"/>
        </w:rPr>
        <w:t xml:space="preserve"> </w:t>
      </w:r>
      <w:r w:rsidR="00F34D15" w:rsidRPr="00D4598E">
        <w:rPr>
          <w:rFonts w:ascii="Times New Roman" w:eastAsia="Times New Roman" w:hAnsi="Times New Roman" w:cs="Times New Roman"/>
          <w:sz w:val="20"/>
          <w:highlight w:val="white"/>
        </w:rPr>
        <w:t xml:space="preserve">The purpose </w:t>
      </w:r>
      <w:r w:rsidR="00F542D7" w:rsidRPr="00D4598E">
        <w:rPr>
          <w:rFonts w:ascii="Times New Roman" w:eastAsia="Times New Roman" w:hAnsi="Times New Roman" w:cs="Times New Roman"/>
          <w:sz w:val="20"/>
          <w:highlight w:val="white"/>
        </w:rPr>
        <w:t xml:space="preserve">of this essay is to examine civic education </w:t>
      </w:r>
      <w:r w:rsidR="00F34D15" w:rsidRPr="00D4598E">
        <w:rPr>
          <w:rFonts w:ascii="Times New Roman" w:eastAsia="Times New Roman" w:hAnsi="Times New Roman" w:cs="Times New Roman"/>
          <w:sz w:val="20"/>
          <w:highlight w:val="white"/>
        </w:rPr>
        <w:t xml:space="preserve">through the lens of </w:t>
      </w:r>
      <w:r w:rsidR="00F542D7" w:rsidRPr="00D4598E">
        <w:rPr>
          <w:rFonts w:ascii="Times New Roman" w:eastAsia="Times New Roman" w:hAnsi="Times New Roman" w:cs="Times New Roman"/>
          <w:sz w:val="20"/>
          <w:highlight w:val="white"/>
        </w:rPr>
        <w:t>global citizenship</w:t>
      </w:r>
      <w:r w:rsidR="00F34D15" w:rsidRPr="00D4598E">
        <w:rPr>
          <w:rFonts w:ascii="Times New Roman" w:eastAsia="Times New Roman" w:hAnsi="Times New Roman" w:cs="Times New Roman"/>
          <w:sz w:val="20"/>
          <w:highlight w:val="white"/>
        </w:rPr>
        <w:t xml:space="preserve">. Contemporary globalization </w:t>
      </w:r>
      <w:r w:rsidR="00C0349A" w:rsidRPr="00D4598E">
        <w:rPr>
          <w:rFonts w:ascii="Times New Roman" w:eastAsia="Times New Roman" w:hAnsi="Times New Roman" w:cs="Times New Roman"/>
          <w:sz w:val="20"/>
          <w:highlight w:val="white"/>
        </w:rPr>
        <w:t xml:space="preserve">has </w:t>
      </w:r>
      <w:r w:rsidR="00F34D15" w:rsidRPr="00D4598E">
        <w:rPr>
          <w:rFonts w:ascii="Times New Roman" w:eastAsia="Times New Roman" w:hAnsi="Times New Roman" w:cs="Times New Roman"/>
          <w:sz w:val="20"/>
          <w:highlight w:val="white"/>
        </w:rPr>
        <w:t>fractured the idealization of citizenship</w:t>
      </w:r>
      <w:r w:rsidR="00C0349A" w:rsidRPr="00D4598E">
        <w:rPr>
          <w:rFonts w:ascii="Times New Roman" w:eastAsia="Times New Roman" w:hAnsi="Times New Roman" w:cs="Times New Roman"/>
          <w:sz w:val="20"/>
          <w:highlight w:val="white"/>
        </w:rPr>
        <w:t xml:space="preserve"> in relations to states</w:t>
      </w:r>
      <w:r w:rsidR="00F34D15" w:rsidRPr="00D4598E">
        <w:rPr>
          <w:rFonts w:ascii="Times New Roman" w:eastAsia="Times New Roman" w:hAnsi="Times New Roman" w:cs="Times New Roman"/>
          <w:sz w:val="20"/>
          <w:highlight w:val="white"/>
        </w:rPr>
        <w:t xml:space="preserve">, </w:t>
      </w:r>
      <w:r w:rsidR="00C0349A" w:rsidRPr="00D4598E">
        <w:rPr>
          <w:rFonts w:ascii="Times New Roman" w:eastAsia="Times New Roman" w:hAnsi="Times New Roman" w:cs="Times New Roman"/>
          <w:sz w:val="20"/>
          <w:highlight w:val="white"/>
        </w:rPr>
        <w:t>and p</w:t>
      </w:r>
      <w:r w:rsidR="00F34D15" w:rsidRPr="00D4598E">
        <w:rPr>
          <w:rFonts w:ascii="Times New Roman" w:eastAsia="Times New Roman" w:hAnsi="Times New Roman" w:cs="Times New Roman"/>
          <w:sz w:val="20"/>
          <w:highlight w:val="white"/>
        </w:rPr>
        <w:t>ostsecondary institutions are now in a pos</w:t>
      </w:r>
      <w:r w:rsidR="00F542D7" w:rsidRPr="00D4598E">
        <w:rPr>
          <w:rFonts w:ascii="Times New Roman" w:eastAsia="Times New Roman" w:hAnsi="Times New Roman" w:cs="Times New Roman"/>
          <w:sz w:val="20"/>
          <w:highlight w:val="white"/>
        </w:rPr>
        <w:t>ition</w:t>
      </w:r>
      <w:r w:rsidR="00F34D15" w:rsidRPr="00D4598E">
        <w:rPr>
          <w:rFonts w:ascii="Times New Roman" w:eastAsia="Times New Roman" w:hAnsi="Times New Roman" w:cs="Times New Roman"/>
          <w:sz w:val="20"/>
          <w:highlight w:val="white"/>
        </w:rPr>
        <w:t xml:space="preserve"> </w:t>
      </w:r>
      <w:r w:rsidR="00C0349A" w:rsidRPr="00D4598E">
        <w:rPr>
          <w:rFonts w:ascii="Times New Roman" w:eastAsia="Times New Roman" w:hAnsi="Times New Roman" w:cs="Times New Roman"/>
          <w:sz w:val="20"/>
          <w:highlight w:val="white"/>
        </w:rPr>
        <w:t>not only</w:t>
      </w:r>
      <w:r w:rsidR="00F542D7" w:rsidRPr="00D4598E">
        <w:rPr>
          <w:rFonts w:ascii="Times New Roman" w:eastAsia="Times New Roman" w:hAnsi="Times New Roman" w:cs="Times New Roman"/>
          <w:sz w:val="20"/>
          <w:highlight w:val="white"/>
        </w:rPr>
        <w:t xml:space="preserve"> to</w:t>
      </w:r>
      <w:r w:rsidR="00C0349A" w:rsidRPr="00D4598E">
        <w:rPr>
          <w:rFonts w:ascii="Times New Roman" w:eastAsia="Times New Roman" w:hAnsi="Times New Roman" w:cs="Times New Roman"/>
          <w:sz w:val="20"/>
          <w:highlight w:val="white"/>
        </w:rPr>
        <w:t xml:space="preserve"> </w:t>
      </w:r>
      <w:r w:rsidR="00F34D15" w:rsidRPr="00D4598E">
        <w:rPr>
          <w:rFonts w:ascii="Times New Roman" w:eastAsia="Times New Roman" w:hAnsi="Times New Roman" w:cs="Times New Roman"/>
          <w:sz w:val="20"/>
          <w:highlight w:val="white"/>
        </w:rPr>
        <w:t>promote</w:t>
      </w:r>
      <w:r w:rsidR="00F542D7" w:rsidRPr="00D4598E">
        <w:rPr>
          <w:rFonts w:ascii="Times New Roman" w:eastAsia="Times New Roman" w:hAnsi="Times New Roman" w:cs="Times New Roman"/>
          <w:sz w:val="20"/>
          <w:highlight w:val="white"/>
        </w:rPr>
        <w:t>,</w:t>
      </w:r>
      <w:r w:rsidR="00C0349A" w:rsidRPr="00D4598E">
        <w:rPr>
          <w:rFonts w:ascii="Times New Roman" w:eastAsia="Times New Roman" w:hAnsi="Times New Roman" w:cs="Times New Roman"/>
          <w:sz w:val="20"/>
          <w:highlight w:val="white"/>
        </w:rPr>
        <w:t xml:space="preserve"> but </w:t>
      </w:r>
      <w:r w:rsidR="00F542D7" w:rsidRPr="00D4598E">
        <w:rPr>
          <w:rFonts w:ascii="Times New Roman" w:eastAsia="Times New Roman" w:hAnsi="Times New Roman" w:cs="Times New Roman"/>
          <w:sz w:val="20"/>
          <w:highlight w:val="white"/>
        </w:rPr>
        <w:t xml:space="preserve">also </w:t>
      </w:r>
      <w:r w:rsidR="00C0349A" w:rsidRPr="00D4598E">
        <w:rPr>
          <w:rFonts w:ascii="Times New Roman" w:eastAsia="Times New Roman" w:hAnsi="Times New Roman" w:cs="Times New Roman"/>
          <w:sz w:val="20"/>
          <w:highlight w:val="white"/>
        </w:rPr>
        <w:t>project</w:t>
      </w:r>
      <w:r w:rsidR="00F34D15" w:rsidRPr="00D4598E">
        <w:rPr>
          <w:rFonts w:ascii="Times New Roman" w:eastAsia="Times New Roman" w:hAnsi="Times New Roman" w:cs="Times New Roman"/>
          <w:sz w:val="20"/>
          <w:highlight w:val="white"/>
        </w:rPr>
        <w:t xml:space="preserve"> globalized values through civic education</w:t>
      </w:r>
      <w:r w:rsidR="00C0349A" w:rsidRPr="00D4598E">
        <w:rPr>
          <w:rFonts w:ascii="Times New Roman" w:eastAsia="Times New Roman" w:hAnsi="Times New Roman" w:cs="Times New Roman"/>
          <w:sz w:val="20"/>
          <w:highlight w:val="white"/>
        </w:rPr>
        <w:t xml:space="preserve"> and engagement</w:t>
      </w:r>
      <w:r w:rsidR="00F34D15" w:rsidRPr="00D4598E">
        <w:rPr>
          <w:rFonts w:ascii="Times New Roman" w:eastAsia="Times New Roman" w:hAnsi="Times New Roman" w:cs="Times New Roman"/>
          <w:sz w:val="20"/>
          <w:highlight w:val="white"/>
        </w:rPr>
        <w:t xml:space="preserve">.  </w:t>
      </w:r>
      <w:r w:rsidR="00C0349A" w:rsidRPr="00D4598E">
        <w:rPr>
          <w:rFonts w:ascii="Times New Roman" w:eastAsia="Times New Roman" w:hAnsi="Times New Roman" w:cs="Times New Roman"/>
          <w:sz w:val="20"/>
          <w:highlight w:val="white"/>
        </w:rPr>
        <w:t>This paper argues that civic engagement needs to be reassessed in light of global transformations</w:t>
      </w:r>
      <w:r w:rsidR="00F542D7" w:rsidRPr="00D4598E">
        <w:rPr>
          <w:rFonts w:ascii="Times New Roman" w:eastAsia="Times New Roman" w:hAnsi="Times New Roman" w:cs="Times New Roman"/>
          <w:sz w:val="20"/>
          <w:highlight w:val="white"/>
        </w:rPr>
        <w:t xml:space="preserve">. </w:t>
      </w:r>
      <w:r w:rsidR="00214A32" w:rsidRPr="00D4598E">
        <w:rPr>
          <w:rFonts w:ascii="Times New Roman" w:eastAsia="Times New Roman" w:hAnsi="Times New Roman" w:cs="Times New Roman"/>
          <w:sz w:val="20"/>
          <w:highlight w:val="white"/>
        </w:rPr>
        <w:t xml:space="preserve">Through a complex system of assessment regimes, international organizations (IOs) such as the OECD are now projecting norm-based </w:t>
      </w:r>
      <w:r w:rsidR="00214A32" w:rsidRPr="00D4598E">
        <w:rPr>
          <w:rFonts w:ascii="Times New Roman" w:eastAsia="Times New Roman" w:hAnsi="Times New Roman" w:cs="Times New Roman" w:hint="eastAsia"/>
          <w:sz w:val="20"/>
          <w:highlight w:val="white"/>
        </w:rPr>
        <w:t xml:space="preserve">transnational human rights enforcement </w:t>
      </w:r>
      <w:r w:rsidR="00214A32" w:rsidRPr="00D4598E">
        <w:rPr>
          <w:rFonts w:ascii="Times New Roman" w:eastAsia="Times New Roman" w:hAnsi="Times New Roman" w:cs="Times New Roman"/>
          <w:sz w:val="20"/>
          <w:highlight w:val="white"/>
        </w:rPr>
        <w:t>systems that</w:t>
      </w:r>
      <w:r w:rsidR="00214A32" w:rsidRPr="00D4598E">
        <w:rPr>
          <w:rFonts w:ascii="Times New Roman" w:eastAsia="Times New Roman" w:hAnsi="Times New Roman" w:cs="Times New Roman" w:hint="eastAsia"/>
          <w:sz w:val="20"/>
          <w:highlight w:val="white"/>
        </w:rPr>
        <w:t xml:space="preserve"> may</w:t>
      </w:r>
      <w:r w:rsidR="00214A32" w:rsidRPr="00D4598E">
        <w:rPr>
          <w:rFonts w:ascii="Times New Roman" w:eastAsia="Times New Roman" w:hAnsi="Times New Roman" w:cs="Times New Roman"/>
          <w:sz w:val="20"/>
          <w:highlight w:val="white"/>
        </w:rPr>
        <w:t xml:space="preserve"> guide the discursive parameters of </w:t>
      </w:r>
      <w:r w:rsidR="00214A32" w:rsidRPr="00D4598E">
        <w:rPr>
          <w:rFonts w:ascii="Times New Roman" w:eastAsia="Times New Roman" w:hAnsi="Times New Roman" w:cs="Times New Roman" w:hint="eastAsia"/>
          <w:sz w:val="20"/>
          <w:highlight w:val="white"/>
        </w:rPr>
        <w:t xml:space="preserve">civic education </w:t>
      </w:r>
      <w:r w:rsidR="00214A32" w:rsidRPr="00D4598E">
        <w:rPr>
          <w:rFonts w:ascii="Times New Roman" w:eastAsia="Times New Roman" w:hAnsi="Times New Roman" w:cs="Times New Roman"/>
          <w:sz w:val="20"/>
          <w:highlight w:val="white"/>
        </w:rPr>
        <w:t xml:space="preserve">curriculum. </w:t>
      </w:r>
      <w:r w:rsidR="00EA2AFD" w:rsidRPr="00D4598E">
        <w:rPr>
          <w:rFonts w:ascii="Times New Roman" w:eastAsia="Times New Roman" w:hAnsi="Times New Roman" w:cs="Times New Roman"/>
          <w:sz w:val="20"/>
          <w:highlight w:val="white"/>
        </w:rPr>
        <w:t xml:space="preserve">Due to these IOs’ ability to confer prestige, and promote stratification, they then have the ability to extraterritorially impose a set of regulatory mechanics onto foreign institutions themselves. They now have the </w:t>
      </w:r>
      <w:r w:rsidR="00EA2AFD" w:rsidRPr="00D4598E">
        <w:rPr>
          <w:rFonts w:ascii="Times New Roman" w:eastAsia="Times New Roman" w:hAnsi="Times New Roman" w:cs="Times New Roman"/>
          <w:i/>
          <w:sz w:val="20"/>
          <w:highlight w:val="white"/>
        </w:rPr>
        <w:t xml:space="preserve">ethos </w:t>
      </w:r>
      <w:r w:rsidR="00EA2AFD" w:rsidRPr="00D4598E">
        <w:rPr>
          <w:rFonts w:ascii="Times New Roman" w:eastAsia="Times New Roman" w:hAnsi="Times New Roman" w:cs="Times New Roman"/>
          <w:sz w:val="20"/>
          <w:highlight w:val="white"/>
        </w:rPr>
        <w:t>to construct a regulatory apparatus based on the</w:t>
      </w:r>
      <w:r w:rsidR="00EA2AFD" w:rsidRPr="00D4598E">
        <w:rPr>
          <w:rFonts w:ascii="Times New Roman" w:eastAsia="Times New Roman" w:hAnsi="Times New Roman" w:cs="Times New Roman"/>
          <w:i/>
          <w:sz w:val="20"/>
          <w:highlight w:val="white"/>
        </w:rPr>
        <w:t xml:space="preserve"> logos</w:t>
      </w:r>
      <w:r w:rsidR="00EA2AFD" w:rsidRPr="00D4598E">
        <w:rPr>
          <w:rFonts w:ascii="Times New Roman" w:eastAsia="Times New Roman" w:hAnsi="Times New Roman" w:cs="Times New Roman"/>
          <w:sz w:val="20"/>
          <w:highlight w:val="white"/>
        </w:rPr>
        <w:t xml:space="preserve"> of those transnational legal systems they construct, and thus promote. The emphasis is not on any fixed forms of disciplinary structure per se, but on a discursive democratic process that allows for substantive and legitimate participation of transnational legal structures by all civil society actors. </w:t>
      </w:r>
      <w:r w:rsidR="00214A32" w:rsidRPr="00D4598E">
        <w:rPr>
          <w:rFonts w:ascii="Times New Roman" w:eastAsia="Times New Roman" w:hAnsi="Times New Roman" w:cs="Times New Roman"/>
          <w:sz w:val="20"/>
          <w:highlight w:val="white"/>
        </w:rPr>
        <w:t xml:space="preserve">The case of Survival International further provides an excellent educational artifact that opens the possibility for a civic pedagogy of participatory global citizenship.    Overall, this article concludes that regulatory power has not only seeped away from states, but IOs and civil society actors are now wielding an immense amount of regulatory power that demands knowledge, curriculum, and education policy to shift towards the transnational level. </w:t>
      </w:r>
      <w:r w:rsidR="00214A32" w:rsidRPr="00D4598E">
        <w:rPr>
          <w:rFonts w:ascii="Times New Roman" w:hAnsi="Times New Roman" w:cs="Times New Roman"/>
          <w:color w:val="222222"/>
          <w:sz w:val="20"/>
          <w:shd w:val="clear" w:color="auto" w:fill="FFFFFF"/>
        </w:rPr>
        <w:t>This paper concludes by arguing that civic engagement needs to be reassessed in light of global transformations. This, of course, advances the idea of global citizenship in the hope of expanding the possibility of catalyzing civic engagement that transcends clearly defined borders, while respecting the pluralistic experiences of a diverse world.</w:t>
      </w:r>
    </w:p>
    <w:p w14:paraId="02A1916F" w14:textId="77777777" w:rsidR="00C0349A" w:rsidRPr="00694C5E" w:rsidRDefault="00C0349A" w:rsidP="0044042E">
      <w:pPr>
        <w:spacing w:line="240" w:lineRule="auto"/>
        <w:contextualSpacing/>
        <w:jc w:val="both"/>
        <w:rPr>
          <w:rFonts w:ascii="Times New Roman" w:eastAsia="Times New Roman" w:hAnsi="Times New Roman" w:cs="Times New Roman"/>
          <w:sz w:val="24"/>
          <w:highlight w:val="white"/>
        </w:rPr>
      </w:pPr>
    </w:p>
    <w:p w14:paraId="0B5509B2" w14:textId="77777777" w:rsidR="00C0349A" w:rsidRPr="00694C5E" w:rsidRDefault="00C0349A" w:rsidP="0044042E">
      <w:pPr>
        <w:spacing w:line="240" w:lineRule="auto"/>
        <w:contextualSpacing/>
        <w:jc w:val="both"/>
        <w:rPr>
          <w:rFonts w:ascii="Times New Roman" w:eastAsia="Times New Roman" w:hAnsi="Times New Roman" w:cs="Times New Roman"/>
          <w:sz w:val="24"/>
          <w:highlight w:val="white"/>
        </w:rPr>
      </w:pPr>
    </w:p>
    <w:p w14:paraId="5861B83F" w14:textId="77777777" w:rsidR="00C0349A" w:rsidRPr="00694C5E" w:rsidRDefault="00C0349A" w:rsidP="0044042E">
      <w:pPr>
        <w:spacing w:line="240" w:lineRule="auto"/>
        <w:contextualSpacing/>
        <w:jc w:val="both"/>
        <w:rPr>
          <w:rFonts w:ascii="Times New Roman" w:eastAsia="Times New Roman" w:hAnsi="Times New Roman" w:cs="Times New Roman"/>
          <w:sz w:val="24"/>
          <w:highlight w:val="white"/>
        </w:rPr>
      </w:pPr>
    </w:p>
    <w:p w14:paraId="37E63DC4" w14:textId="77777777" w:rsidR="00C0349A" w:rsidRPr="00694C5E" w:rsidRDefault="00C0349A" w:rsidP="0044042E">
      <w:pPr>
        <w:spacing w:line="240" w:lineRule="auto"/>
        <w:contextualSpacing/>
        <w:jc w:val="both"/>
        <w:rPr>
          <w:rFonts w:ascii="Times New Roman" w:eastAsia="Times New Roman" w:hAnsi="Times New Roman" w:cs="Times New Roman"/>
          <w:sz w:val="24"/>
          <w:highlight w:val="white"/>
        </w:rPr>
      </w:pPr>
    </w:p>
    <w:p w14:paraId="16DC608C" w14:textId="77777777" w:rsidR="00C0349A" w:rsidRPr="00694C5E" w:rsidRDefault="00C0349A" w:rsidP="0044042E">
      <w:pPr>
        <w:spacing w:line="240" w:lineRule="auto"/>
        <w:contextualSpacing/>
        <w:jc w:val="both"/>
        <w:rPr>
          <w:rFonts w:ascii="Times New Roman" w:eastAsia="Times New Roman" w:hAnsi="Times New Roman" w:cs="Times New Roman"/>
          <w:sz w:val="24"/>
          <w:highlight w:val="white"/>
        </w:rPr>
      </w:pPr>
    </w:p>
    <w:p w14:paraId="1F709442" w14:textId="77777777" w:rsidR="00B84A30" w:rsidRPr="00694C5E" w:rsidRDefault="00066985" w:rsidP="00066985">
      <w:pPr>
        <w:pStyle w:val="Heading1"/>
        <w:rPr>
          <w:rFonts w:ascii="Times New Roman" w:hAnsi="Times New Roman" w:cs="Times New Roman"/>
          <w:highlight w:val="white"/>
        </w:rPr>
      </w:pPr>
      <w:r w:rsidRPr="00694C5E">
        <w:rPr>
          <w:rFonts w:ascii="Times New Roman" w:hAnsi="Times New Roman" w:cs="Times New Roman"/>
          <w:highlight w:val="white"/>
        </w:rPr>
        <w:lastRenderedPageBreak/>
        <w:t>Introduction</w:t>
      </w:r>
    </w:p>
    <w:p w14:paraId="3CF460B3" w14:textId="77777777" w:rsidR="00C0349A" w:rsidRPr="00694C5E" w:rsidRDefault="00C0349A" w:rsidP="0044042E">
      <w:pPr>
        <w:spacing w:line="240" w:lineRule="auto"/>
        <w:contextualSpacing/>
        <w:jc w:val="both"/>
        <w:rPr>
          <w:rFonts w:ascii="Times New Roman" w:eastAsia="Times New Roman" w:hAnsi="Times New Roman" w:cs="Times New Roman"/>
          <w:sz w:val="24"/>
          <w:highlight w:val="white"/>
        </w:rPr>
      </w:pPr>
    </w:p>
    <w:p w14:paraId="062E79C3" w14:textId="77777777" w:rsidR="00C15D46" w:rsidRPr="00694C5E" w:rsidRDefault="00BF1730" w:rsidP="00331B57">
      <w:pPr>
        <w:contextualSpacing/>
        <w:jc w:val="both"/>
        <w:rPr>
          <w:rFonts w:ascii="Times New Roman" w:eastAsia="Times New Roman" w:hAnsi="Times New Roman" w:cs="Times New Roman"/>
          <w:sz w:val="24"/>
          <w:highlight w:val="white"/>
        </w:rPr>
      </w:pPr>
      <w:r w:rsidRPr="00694C5E">
        <w:rPr>
          <w:rFonts w:ascii="Times New Roman" w:eastAsia="Times New Roman" w:hAnsi="Times New Roman" w:cs="Times New Roman"/>
          <w:sz w:val="24"/>
          <w:highlight w:val="white"/>
        </w:rPr>
        <w:t>Civic education</w:t>
      </w:r>
      <w:r w:rsidR="00B84A30" w:rsidRPr="00694C5E">
        <w:rPr>
          <w:rFonts w:ascii="Times New Roman" w:eastAsia="Times New Roman" w:hAnsi="Times New Roman" w:cs="Times New Roman"/>
          <w:sz w:val="24"/>
          <w:highlight w:val="white"/>
        </w:rPr>
        <w:t xml:space="preserve"> has </w:t>
      </w:r>
      <w:r w:rsidR="00C15D46" w:rsidRPr="00694C5E">
        <w:rPr>
          <w:rFonts w:ascii="Times New Roman" w:eastAsia="Times New Roman" w:hAnsi="Times New Roman" w:cs="Times New Roman"/>
          <w:sz w:val="24"/>
          <w:highlight w:val="white"/>
        </w:rPr>
        <w:t xml:space="preserve">always </w:t>
      </w:r>
      <w:r w:rsidR="00363F08">
        <w:rPr>
          <w:rFonts w:ascii="Times New Roman" w:eastAsia="Times New Roman" w:hAnsi="Times New Roman" w:cs="Times New Roman"/>
          <w:sz w:val="24"/>
          <w:highlight w:val="white"/>
        </w:rPr>
        <w:t>been a pejorative of the</w:t>
      </w:r>
      <w:r w:rsidR="00B84A30" w:rsidRPr="00694C5E">
        <w:rPr>
          <w:rFonts w:ascii="Times New Roman" w:eastAsia="Times New Roman" w:hAnsi="Times New Roman" w:cs="Times New Roman"/>
          <w:sz w:val="24"/>
          <w:highlight w:val="white"/>
        </w:rPr>
        <w:t xml:space="preserve"> state. The</w:t>
      </w:r>
      <w:r w:rsidR="00F34D15" w:rsidRPr="00694C5E">
        <w:rPr>
          <w:rFonts w:ascii="Times New Roman" w:eastAsia="Times New Roman" w:hAnsi="Times New Roman" w:cs="Times New Roman"/>
          <w:sz w:val="24"/>
          <w:highlight w:val="white"/>
        </w:rPr>
        <w:t xml:space="preserve"> notion of citizenship has </w:t>
      </w:r>
      <w:r w:rsidR="00B84A30" w:rsidRPr="00694C5E">
        <w:rPr>
          <w:rFonts w:ascii="Times New Roman" w:eastAsia="Times New Roman" w:hAnsi="Times New Roman" w:cs="Times New Roman"/>
          <w:sz w:val="24"/>
          <w:highlight w:val="white"/>
        </w:rPr>
        <w:t xml:space="preserve">also </w:t>
      </w:r>
      <w:r w:rsidR="00F34D15" w:rsidRPr="00694C5E">
        <w:rPr>
          <w:rFonts w:ascii="Times New Roman" w:eastAsia="Times New Roman" w:hAnsi="Times New Roman" w:cs="Times New Roman"/>
          <w:sz w:val="24"/>
          <w:highlight w:val="white"/>
        </w:rPr>
        <w:t xml:space="preserve">been grounded </w:t>
      </w:r>
      <w:r w:rsidR="00B84A30" w:rsidRPr="00694C5E">
        <w:rPr>
          <w:rFonts w:ascii="Times New Roman" w:eastAsia="Times New Roman" w:hAnsi="Times New Roman" w:cs="Times New Roman"/>
          <w:sz w:val="24"/>
          <w:highlight w:val="white"/>
        </w:rPr>
        <w:t>with</w:t>
      </w:r>
      <w:r w:rsidR="00F34D15" w:rsidRPr="00694C5E">
        <w:rPr>
          <w:rFonts w:ascii="Times New Roman" w:eastAsia="Times New Roman" w:hAnsi="Times New Roman" w:cs="Times New Roman"/>
          <w:sz w:val="24"/>
          <w:highlight w:val="white"/>
        </w:rPr>
        <w:t>in the architecture of the state</w:t>
      </w:r>
      <w:r w:rsidR="00B84A30" w:rsidRPr="00694C5E">
        <w:rPr>
          <w:rFonts w:ascii="Times New Roman" w:eastAsia="Times New Roman" w:hAnsi="Times New Roman" w:cs="Times New Roman"/>
          <w:sz w:val="24"/>
          <w:highlight w:val="white"/>
        </w:rPr>
        <w:t xml:space="preserve"> as well</w:t>
      </w:r>
      <w:r w:rsidR="00F34D15" w:rsidRPr="00694C5E">
        <w:rPr>
          <w:rFonts w:ascii="Times New Roman" w:eastAsia="Times New Roman" w:hAnsi="Times New Roman" w:cs="Times New Roman"/>
          <w:sz w:val="24"/>
          <w:highlight w:val="white"/>
        </w:rPr>
        <w:t xml:space="preserve">, </w:t>
      </w:r>
      <w:r w:rsidR="00B84A30" w:rsidRPr="00694C5E">
        <w:rPr>
          <w:rFonts w:ascii="Times New Roman" w:eastAsia="Times New Roman" w:hAnsi="Times New Roman" w:cs="Times New Roman"/>
          <w:sz w:val="24"/>
          <w:highlight w:val="white"/>
        </w:rPr>
        <w:t>where</w:t>
      </w:r>
      <w:r w:rsidR="00F34D15" w:rsidRPr="00694C5E">
        <w:rPr>
          <w:rFonts w:ascii="Times New Roman" w:eastAsia="Times New Roman" w:hAnsi="Times New Roman" w:cs="Times New Roman"/>
          <w:sz w:val="24"/>
          <w:highlight w:val="white"/>
        </w:rPr>
        <w:t xml:space="preserve"> civic engagement has been </w:t>
      </w:r>
      <w:r w:rsidR="00B84A30" w:rsidRPr="00694C5E">
        <w:rPr>
          <w:rFonts w:ascii="Times New Roman" w:eastAsia="Times New Roman" w:hAnsi="Times New Roman" w:cs="Times New Roman"/>
          <w:sz w:val="24"/>
          <w:highlight w:val="white"/>
        </w:rPr>
        <w:t>confined within</w:t>
      </w:r>
      <w:r w:rsidR="00F34D15" w:rsidRPr="00694C5E">
        <w:rPr>
          <w:rFonts w:ascii="Times New Roman" w:eastAsia="Times New Roman" w:hAnsi="Times New Roman" w:cs="Times New Roman"/>
          <w:sz w:val="24"/>
          <w:highlight w:val="white"/>
        </w:rPr>
        <w:t xml:space="preserve"> </w:t>
      </w:r>
      <w:r w:rsidR="00C15D46" w:rsidRPr="00694C5E">
        <w:rPr>
          <w:rFonts w:ascii="Times New Roman" w:eastAsia="Times New Roman" w:hAnsi="Times New Roman" w:cs="Times New Roman"/>
          <w:sz w:val="24"/>
          <w:highlight w:val="white"/>
        </w:rPr>
        <w:t>national</w:t>
      </w:r>
      <w:r w:rsidR="00F34D15" w:rsidRPr="00694C5E">
        <w:rPr>
          <w:rFonts w:ascii="Times New Roman" w:eastAsia="Times New Roman" w:hAnsi="Times New Roman" w:cs="Times New Roman"/>
          <w:sz w:val="24"/>
          <w:highlight w:val="white"/>
        </w:rPr>
        <w:t xml:space="preserve"> borders. </w:t>
      </w:r>
      <w:r w:rsidR="00C15D46" w:rsidRPr="00694C5E">
        <w:rPr>
          <w:rFonts w:ascii="Times New Roman" w:eastAsia="Times New Roman" w:hAnsi="Times New Roman" w:cs="Times New Roman"/>
          <w:sz w:val="24"/>
          <w:highlight w:val="white"/>
        </w:rPr>
        <w:t>C</w:t>
      </w:r>
      <w:r w:rsidR="00F34D15" w:rsidRPr="00694C5E">
        <w:rPr>
          <w:rFonts w:ascii="Times New Roman" w:eastAsia="Times New Roman" w:hAnsi="Times New Roman" w:cs="Times New Roman"/>
          <w:sz w:val="24"/>
          <w:highlight w:val="white"/>
        </w:rPr>
        <w:t>i</w:t>
      </w:r>
      <w:r w:rsidR="00EF7A50">
        <w:rPr>
          <w:rFonts w:ascii="Times New Roman" w:eastAsiaTheme="minorEastAsia" w:hAnsi="Times New Roman" w:cs="Times New Roman" w:hint="eastAsia"/>
          <w:sz w:val="24"/>
          <w:highlight w:val="white"/>
          <w:lang w:eastAsia="zh-CN"/>
        </w:rPr>
        <w:t>vic</w:t>
      </w:r>
      <w:r w:rsidR="00F34D15" w:rsidRPr="00694C5E">
        <w:rPr>
          <w:rFonts w:ascii="Times New Roman" w:eastAsia="Times New Roman" w:hAnsi="Times New Roman" w:cs="Times New Roman"/>
          <w:sz w:val="24"/>
          <w:highlight w:val="white"/>
        </w:rPr>
        <w:t xml:space="preserve"> engagement tends to ascribe to concepts of statehood-- where various rights, privileges, and responsibilities are attributed to, and by, the state. Yet, with the onset of contemporary globalization, this notion of civic engagement is becoming increasingly fractured, especially considering the convergence of domestic and transnational governance regimes. </w:t>
      </w:r>
      <w:r w:rsidR="00ED7C7C" w:rsidRPr="00694C5E">
        <w:rPr>
          <w:rFonts w:ascii="Times New Roman" w:hAnsi="Times New Roman" w:cs="Times New Roman"/>
          <w:sz w:val="24"/>
          <w:szCs w:val="24"/>
        </w:rPr>
        <w:t>Contemporary glo</w:t>
      </w:r>
      <w:bookmarkStart w:id="0" w:name="_GoBack"/>
      <w:bookmarkEnd w:id="0"/>
      <w:r w:rsidR="00ED7C7C" w:rsidRPr="00694C5E">
        <w:rPr>
          <w:rFonts w:ascii="Times New Roman" w:hAnsi="Times New Roman" w:cs="Times New Roman"/>
          <w:sz w:val="24"/>
          <w:szCs w:val="24"/>
        </w:rPr>
        <w:t>balization has affected the U.S. university system in a myriad of ways.</w:t>
      </w:r>
      <w:r w:rsidR="00694C5E">
        <w:rPr>
          <w:rStyle w:val="FootnoteReference"/>
          <w:rFonts w:ascii="Times New Roman" w:hAnsi="Times New Roman" w:cs="Times New Roman"/>
          <w:sz w:val="24"/>
          <w:szCs w:val="24"/>
        </w:rPr>
        <w:footnoteReference w:id="1"/>
      </w:r>
      <w:r w:rsidR="00ED7C7C" w:rsidRPr="00694C5E">
        <w:rPr>
          <w:rFonts w:ascii="Times New Roman" w:hAnsi="Times New Roman" w:cs="Times New Roman"/>
          <w:sz w:val="24"/>
          <w:szCs w:val="24"/>
        </w:rPr>
        <w:t xml:space="preserve"> </w:t>
      </w:r>
      <w:r w:rsidR="00390ADC" w:rsidRPr="00694C5E">
        <w:rPr>
          <w:rFonts w:ascii="Times New Roman" w:eastAsia="Times New Roman" w:hAnsi="Times New Roman" w:cs="Times New Roman"/>
          <w:sz w:val="24"/>
          <w:highlight w:val="white"/>
        </w:rPr>
        <w:t xml:space="preserve"> U.S. universities for example, have increasingly internationalized their institutional presence, with satellite campuses developed around the world.  There has b</w:t>
      </w:r>
      <w:r w:rsidR="00F542D7" w:rsidRPr="00694C5E">
        <w:rPr>
          <w:rFonts w:ascii="Times New Roman" w:eastAsia="Times New Roman" w:hAnsi="Times New Roman" w:cs="Times New Roman"/>
          <w:sz w:val="24"/>
          <w:highlight w:val="white"/>
        </w:rPr>
        <w:t>e</w:t>
      </w:r>
      <w:r w:rsidR="00390ADC" w:rsidRPr="00694C5E">
        <w:rPr>
          <w:rFonts w:ascii="Times New Roman" w:eastAsia="Times New Roman" w:hAnsi="Times New Roman" w:cs="Times New Roman"/>
          <w:sz w:val="24"/>
          <w:highlight w:val="white"/>
        </w:rPr>
        <w:t>en an increase of a large presents of international students</w:t>
      </w:r>
      <w:r w:rsidR="00390ADC" w:rsidRPr="00694C5E">
        <w:rPr>
          <w:rFonts w:ascii="Times New Roman" w:eastAsia="Times New Roman" w:hAnsi="Times New Roman" w:cs="Times New Roman"/>
          <w:sz w:val="24"/>
        </w:rPr>
        <w:t xml:space="preserve"> at U.S. universities</w:t>
      </w:r>
      <w:r w:rsidR="00694C5E">
        <w:rPr>
          <w:rFonts w:ascii="Times New Roman" w:eastAsia="Times New Roman" w:hAnsi="Times New Roman" w:cs="Times New Roman"/>
          <w:sz w:val="24"/>
        </w:rPr>
        <w:t>.</w:t>
      </w:r>
      <w:r w:rsidR="00694C5E">
        <w:rPr>
          <w:rStyle w:val="FootnoteReference"/>
          <w:rFonts w:ascii="Times New Roman" w:eastAsia="Times New Roman" w:hAnsi="Times New Roman" w:cs="Times New Roman"/>
          <w:sz w:val="24"/>
        </w:rPr>
        <w:footnoteReference w:id="2"/>
      </w:r>
      <w:r w:rsidR="00390ADC" w:rsidRPr="00694C5E">
        <w:rPr>
          <w:rFonts w:ascii="Times New Roman" w:eastAsia="Times New Roman" w:hAnsi="Times New Roman" w:cs="Times New Roman"/>
          <w:sz w:val="24"/>
        </w:rPr>
        <w:t xml:space="preserve"> </w:t>
      </w:r>
      <w:r w:rsidR="00390ADC" w:rsidRPr="00694C5E">
        <w:rPr>
          <w:rFonts w:ascii="Times New Roman" w:hAnsi="Times New Roman" w:cs="Times New Roman"/>
          <w:sz w:val="24"/>
          <w:szCs w:val="24"/>
        </w:rPr>
        <w:t>Not only are universities a part of the process off globalization, but are unique to it.</w:t>
      </w:r>
      <w:r w:rsidR="00ED7C7C" w:rsidRPr="00694C5E">
        <w:rPr>
          <w:rFonts w:ascii="Times New Roman" w:hAnsi="Times New Roman" w:cs="Times New Roman"/>
          <w:sz w:val="24"/>
          <w:szCs w:val="24"/>
        </w:rPr>
        <w:t xml:space="preserve"> </w:t>
      </w:r>
      <w:r w:rsidR="00C15D46" w:rsidRPr="00694C5E">
        <w:rPr>
          <w:rFonts w:ascii="Times New Roman" w:eastAsia="Times New Roman" w:hAnsi="Times New Roman" w:cs="Times New Roman"/>
          <w:sz w:val="24"/>
          <w:highlight w:val="white"/>
        </w:rPr>
        <w:t>Educational institutions</w:t>
      </w:r>
      <w:r w:rsidR="00390ADC" w:rsidRPr="00694C5E">
        <w:rPr>
          <w:rFonts w:ascii="Times New Roman" w:eastAsia="Times New Roman" w:hAnsi="Times New Roman" w:cs="Times New Roman"/>
          <w:sz w:val="24"/>
          <w:highlight w:val="white"/>
        </w:rPr>
        <w:t>, as</w:t>
      </w:r>
      <w:r w:rsidR="00C15D46" w:rsidRPr="00694C5E">
        <w:rPr>
          <w:rFonts w:ascii="Times New Roman" w:eastAsia="Times New Roman" w:hAnsi="Times New Roman" w:cs="Times New Roman"/>
          <w:sz w:val="24"/>
          <w:highlight w:val="white"/>
        </w:rPr>
        <w:t xml:space="preserve"> Fernando </w:t>
      </w:r>
      <w:proofErr w:type="spellStart"/>
      <w:r w:rsidR="00C15D46" w:rsidRPr="00694C5E">
        <w:rPr>
          <w:rFonts w:ascii="Times New Roman" w:eastAsia="Times New Roman" w:hAnsi="Times New Roman" w:cs="Times New Roman"/>
          <w:sz w:val="24"/>
          <w:highlight w:val="white"/>
        </w:rPr>
        <w:t>Reimers</w:t>
      </w:r>
      <w:proofErr w:type="spellEnd"/>
      <w:r w:rsidR="00C15D46" w:rsidRPr="00694C5E">
        <w:rPr>
          <w:rFonts w:ascii="Times New Roman" w:eastAsia="Times New Roman" w:hAnsi="Times New Roman" w:cs="Times New Roman"/>
          <w:sz w:val="24"/>
          <w:highlight w:val="white"/>
        </w:rPr>
        <w:t xml:space="preserve"> reminds us:</w:t>
      </w:r>
    </w:p>
    <w:p w14:paraId="4001F34C" w14:textId="77777777" w:rsidR="00C15D46" w:rsidRPr="00694C5E" w:rsidRDefault="00C15D46" w:rsidP="0044042E">
      <w:pPr>
        <w:spacing w:line="240" w:lineRule="auto"/>
        <w:jc w:val="both"/>
        <w:rPr>
          <w:rFonts w:ascii="Times New Roman" w:eastAsia="Times New Roman" w:hAnsi="Times New Roman" w:cs="Times New Roman"/>
          <w:color w:val="auto"/>
          <w:sz w:val="26"/>
          <w:szCs w:val="26"/>
        </w:rPr>
      </w:pPr>
    </w:p>
    <w:p w14:paraId="25DF9310" w14:textId="77777777" w:rsidR="00C15D46" w:rsidRPr="00694C5E" w:rsidRDefault="00390ADC" w:rsidP="00A11DD3">
      <w:pPr>
        <w:spacing w:line="240" w:lineRule="auto"/>
        <w:ind w:left="720" w:right="720"/>
        <w:jc w:val="both"/>
        <w:rPr>
          <w:rFonts w:ascii="Times New Roman" w:eastAsia="Times New Roman" w:hAnsi="Times New Roman" w:cs="Times New Roman"/>
          <w:color w:val="auto"/>
          <w:sz w:val="24"/>
          <w:szCs w:val="24"/>
        </w:rPr>
      </w:pPr>
      <w:r w:rsidRPr="00694C5E">
        <w:rPr>
          <w:rFonts w:ascii="Times New Roman" w:eastAsia="Times New Roman" w:hAnsi="Times New Roman" w:cs="Times New Roman"/>
          <w:color w:val="auto"/>
          <w:sz w:val="24"/>
          <w:szCs w:val="24"/>
        </w:rPr>
        <w:t>…</w:t>
      </w:r>
      <w:r w:rsidR="00C15D46" w:rsidRPr="00694C5E">
        <w:rPr>
          <w:rFonts w:ascii="Times New Roman" w:eastAsia="Times New Roman" w:hAnsi="Times New Roman" w:cs="Times New Roman"/>
          <w:color w:val="auto"/>
          <w:sz w:val="24"/>
          <w:szCs w:val="24"/>
        </w:rPr>
        <w:t>are a public space, and consequently also a globally public space, in ways in which families and religious institutions are not. If schools actively engage in teaching hatred or intolerance, or if they fail to prepare students adequately for global civility, these failures can be noted by international institutions that can potentially mobilize resources to support national and local efforts to prepare students for global citizenship. There is not a similar network linking national and transnational institutions, public and private, governmental and non-governmental, that attends to the dynamics of families and other ‘‘private’’ spaces.</w:t>
      </w:r>
      <w:r w:rsidR="00AB4556" w:rsidRPr="00694C5E">
        <w:rPr>
          <w:rStyle w:val="FootnoteReference"/>
          <w:rFonts w:ascii="Times New Roman" w:eastAsia="Times New Roman" w:hAnsi="Times New Roman" w:cs="Times New Roman"/>
          <w:color w:val="auto"/>
          <w:sz w:val="24"/>
          <w:szCs w:val="24"/>
        </w:rPr>
        <w:footnoteReference w:id="3"/>
      </w:r>
    </w:p>
    <w:p w14:paraId="0D19883C" w14:textId="77777777" w:rsidR="00C15D46" w:rsidRPr="00694C5E" w:rsidRDefault="00C15D46" w:rsidP="0044042E">
      <w:pPr>
        <w:spacing w:line="240" w:lineRule="auto"/>
        <w:contextualSpacing/>
        <w:jc w:val="both"/>
        <w:rPr>
          <w:rFonts w:ascii="Times New Roman" w:eastAsia="Times New Roman" w:hAnsi="Times New Roman" w:cs="Times New Roman"/>
          <w:sz w:val="24"/>
          <w:szCs w:val="24"/>
          <w:highlight w:val="white"/>
        </w:rPr>
      </w:pPr>
    </w:p>
    <w:p w14:paraId="278C1AD9" w14:textId="77777777" w:rsidR="00F34D15" w:rsidRPr="00694C5E" w:rsidRDefault="00571E55" w:rsidP="00B90D5B">
      <w:pPr>
        <w:jc w:val="both"/>
        <w:rPr>
          <w:rFonts w:ascii="Times New Roman" w:hAnsi="Times New Roman" w:cs="Times New Roman"/>
          <w:sz w:val="24"/>
          <w:szCs w:val="24"/>
        </w:rPr>
      </w:pPr>
      <w:r w:rsidRPr="00694C5E">
        <w:rPr>
          <w:rFonts w:ascii="Times New Roman" w:eastAsia="Times New Roman" w:hAnsi="Times New Roman" w:cs="Times New Roman"/>
          <w:sz w:val="24"/>
          <w:highlight w:val="white"/>
        </w:rPr>
        <w:t>Modern u</w:t>
      </w:r>
      <w:r w:rsidR="00CC60DD" w:rsidRPr="00694C5E">
        <w:rPr>
          <w:rFonts w:ascii="Times New Roman" w:eastAsia="Times New Roman" w:hAnsi="Times New Roman" w:cs="Times New Roman"/>
          <w:sz w:val="24"/>
          <w:highlight w:val="white"/>
        </w:rPr>
        <w:t xml:space="preserve">niversities are centers for cosmopolitanism. This is a shared notion of the citizen of the world, which transcends cultural, social, or territorial, boundaries. This Kantian notion suggests that there is one moral community that encompasses all citizens of the world. </w:t>
      </w:r>
      <w:r w:rsidR="008B6C75" w:rsidRPr="00694C5E">
        <w:rPr>
          <w:rFonts w:ascii="Times New Roman" w:eastAsia="Times New Roman" w:hAnsi="Times New Roman" w:cs="Times New Roman"/>
          <w:sz w:val="24"/>
          <w:highlight w:val="white"/>
        </w:rPr>
        <w:t>In this paper, we</w:t>
      </w:r>
      <w:r w:rsidR="00F34D15" w:rsidRPr="00694C5E">
        <w:rPr>
          <w:rFonts w:ascii="Times New Roman" w:eastAsia="Times New Roman" w:hAnsi="Times New Roman" w:cs="Times New Roman"/>
          <w:sz w:val="24"/>
          <w:highlight w:val="white"/>
        </w:rPr>
        <w:t xml:space="preserve"> seek to expand on the current discourse surrounding civic education by examining civic engagement from a global perspective, and focusing specifically on the relationship of higher education and public advocacy. </w:t>
      </w:r>
      <w:r w:rsidR="008B6C75" w:rsidRPr="00694C5E">
        <w:rPr>
          <w:rFonts w:ascii="Times New Roman" w:eastAsia="Times New Roman" w:hAnsi="Times New Roman" w:cs="Times New Roman"/>
          <w:sz w:val="24"/>
        </w:rPr>
        <w:t>Tocqueville captured what civic education is within this contest: “Town meetings are to liberty what primary schools are to science; they bring it within the people's reach, they teach men how to use and how to enjoy it.” T</w:t>
      </w:r>
      <w:r w:rsidR="00F34D15" w:rsidRPr="00694C5E">
        <w:rPr>
          <w:rFonts w:ascii="Times New Roman" w:eastAsia="Times New Roman" w:hAnsi="Times New Roman" w:cs="Times New Roman"/>
          <w:sz w:val="24"/>
          <w:highlight w:val="white"/>
        </w:rPr>
        <w:t>he paper, then, begins with a brief</w:t>
      </w:r>
      <w:r w:rsidR="00AB4556" w:rsidRPr="00694C5E">
        <w:rPr>
          <w:rFonts w:ascii="Times New Roman" w:eastAsiaTheme="minorEastAsia" w:hAnsi="Times New Roman" w:cs="Times New Roman"/>
          <w:sz w:val="24"/>
          <w:highlight w:val="white"/>
          <w:lang w:eastAsia="zh-CN"/>
        </w:rPr>
        <w:t xml:space="preserve"> historical</w:t>
      </w:r>
      <w:r w:rsidR="00F34D15" w:rsidRPr="00694C5E">
        <w:rPr>
          <w:rFonts w:ascii="Times New Roman" w:eastAsia="Times New Roman" w:hAnsi="Times New Roman" w:cs="Times New Roman"/>
          <w:sz w:val="24"/>
          <w:highlight w:val="white"/>
        </w:rPr>
        <w:t xml:space="preserve"> o</w:t>
      </w:r>
      <w:r w:rsidR="00AB4556" w:rsidRPr="00694C5E">
        <w:rPr>
          <w:rFonts w:ascii="Times New Roman" w:eastAsia="Times New Roman" w:hAnsi="Times New Roman" w:cs="Times New Roman"/>
          <w:sz w:val="24"/>
          <w:highlight w:val="white"/>
        </w:rPr>
        <w:t xml:space="preserve">verview of the concept </w:t>
      </w:r>
      <w:r w:rsidR="00AB4556" w:rsidRPr="00694C5E">
        <w:rPr>
          <w:rFonts w:ascii="Times New Roman" w:eastAsiaTheme="minorEastAsia" w:hAnsi="Times New Roman" w:cs="Times New Roman"/>
          <w:sz w:val="24"/>
          <w:highlight w:val="white"/>
          <w:lang w:eastAsia="zh-CN"/>
        </w:rPr>
        <w:t>of citizenship</w:t>
      </w:r>
      <w:r w:rsidR="00F34D15" w:rsidRPr="00694C5E">
        <w:rPr>
          <w:rFonts w:ascii="Times New Roman" w:eastAsia="Times New Roman" w:hAnsi="Times New Roman" w:cs="Times New Roman"/>
          <w:sz w:val="24"/>
          <w:highlight w:val="white"/>
        </w:rPr>
        <w:t xml:space="preserve"> by drawing on the problematic relationship between “citizenship” and “states”. The paper will then contextualize the concept of global citizenship within the discourse of cosmopolitanism</w:t>
      </w:r>
      <w:r w:rsidR="00EA2AFD">
        <w:rPr>
          <w:rFonts w:ascii="Times New Roman" w:eastAsiaTheme="minorEastAsia" w:hAnsi="Times New Roman" w:cs="Times New Roman" w:hint="eastAsia"/>
          <w:sz w:val="24"/>
          <w:highlight w:val="white"/>
          <w:lang w:eastAsia="zh-CN"/>
        </w:rPr>
        <w:t>, polycentricity</w:t>
      </w:r>
      <w:r w:rsidR="00F34D15" w:rsidRPr="00694C5E">
        <w:rPr>
          <w:rFonts w:ascii="Times New Roman" w:eastAsia="Times New Roman" w:hAnsi="Times New Roman" w:cs="Times New Roman"/>
          <w:sz w:val="24"/>
          <w:highlight w:val="white"/>
        </w:rPr>
        <w:t xml:space="preserve"> and extraterritoriality, and </w:t>
      </w:r>
      <w:r w:rsidR="00F34D15" w:rsidRPr="00694C5E">
        <w:rPr>
          <w:rFonts w:ascii="Times New Roman" w:eastAsia="Times New Roman" w:hAnsi="Times New Roman" w:cs="Times New Roman"/>
          <w:sz w:val="24"/>
          <w:highlight w:val="white"/>
        </w:rPr>
        <w:lastRenderedPageBreak/>
        <w:t xml:space="preserve">delineate the historical shift from "the citizen of a state" toward "the citizen of the world". </w:t>
      </w:r>
      <w:r w:rsidR="00B90D5B" w:rsidRPr="00694C5E">
        <w:rPr>
          <w:rFonts w:ascii="Times New Roman" w:eastAsia="Times New Roman" w:hAnsi="Times New Roman" w:cs="Times New Roman"/>
          <w:sz w:val="24"/>
          <w:highlight w:val="white"/>
        </w:rPr>
        <w:t xml:space="preserve">Following a historical and theoretical overview on the concept of global citizenship, this paper </w:t>
      </w:r>
      <w:r w:rsidR="00B90D5B" w:rsidRPr="00694C5E">
        <w:rPr>
          <w:rFonts w:ascii="Times New Roman" w:hAnsi="Times New Roman" w:cs="Times New Roman"/>
          <w:color w:val="222222"/>
          <w:sz w:val="24"/>
          <w:szCs w:val="24"/>
          <w:shd w:val="clear" w:color="auto" w:fill="FFFFFF"/>
        </w:rPr>
        <w:t>then examines the Organization for Economic Co-operation and Developments (OECD)’s human rights agenda represented through its “Guidelines for Multinational Enterprises”, and explore the ways that OECD has influenced human rights policy through the projection of soft-law. This paper finds that the OECD has moved beyond its traditional parameter as a global economic forum, but has now taken on the form of global regulator, with the ability to wield an extraordinary amount of regulatory power in the domain of global human rights enforcement.</w:t>
      </w:r>
      <w:r w:rsidR="00B90D5B" w:rsidRPr="00694C5E">
        <w:rPr>
          <w:rStyle w:val="apple-converted-space"/>
          <w:rFonts w:ascii="Times New Roman" w:hAnsi="Times New Roman" w:cs="Times New Roman"/>
          <w:color w:val="222222"/>
          <w:sz w:val="24"/>
          <w:szCs w:val="24"/>
          <w:shd w:val="clear" w:color="auto" w:fill="FFFFFF"/>
        </w:rPr>
        <w:t xml:space="preserve"> Furthermore, the paper concludes that the </w:t>
      </w:r>
      <w:r w:rsidR="00B90D5B" w:rsidRPr="00694C5E">
        <w:rPr>
          <w:rFonts w:ascii="Times New Roman" w:hAnsi="Times New Roman" w:cs="Times New Roman"/>
          <w:bCs/>
          <w:sz w:val="24"/>
          <w:szCs w:val="24"/>
        </w:rPr>
        <w:t>OECD Guidelines for Multinational Enterprises</w:t>
      </w:r>
      <w:r w:rsidR="00B90D5B" w:rsidRPr="00694C5E">
        <w:rPr>
          <w:rStyle w:val="apple-converted-space"/>
          <w:rFonts w:ascii="Times New Roman" w:hAnsi="Times New Roman" w:cs="Times New Roman"/>
          <w:color w:val="222222"/>
          <w:sz w:val="24"/>
          <w:szCs w:val="24"/>
          <w:shd w:val="clear" w:color="auto" w:fill="FFFFFF"/>
        </w:rPr>
        <w:t xml:space="preserve"> provides the crucial antecedent that frames the global discourse on socio-economic rights and signals the possibility for a participatory global citizenship.</w:t>
      </w:r>
      <w:r w:rsidR="00B90D5B" w:rsidRPr="00694C5E">
        <w:rPr>
          <w:rFonts w:ascii="Times New Roman" w:hAnsi="Times New Roman" w:cs="Times New Roman"/>
          <w:color w:val="222222"/>
          <w:sz w:val="24"/>
          <w:szCs w:val="24"/>
          <w:shd w:val="clear" w:color="auto" w:fill="FFFFFF"/>
        </w:rPr>
        <w:t xml:space="preserve"> </w:t>
      </w:r>
      <w:r w:rsidR="00F34D15" w:rsidRPr="00694C5E">
        <w:rPr>
          <w:rFonts w:ascii="Times New Roman" w:eastAsia="Times New Roman" w:hAnsi="Times New Roman" w:cs="Times New Roman"/>
          <w:sz w:val="24"/>
          <w:highlight w:val="white"/>
        </w:rPr>
        <w:t>This paper concludes by arguing that civic engagement needs to be reassessed in light of global transformations. This, of course, advances the idea of global citizenship in the hope of expanding the possibility of catalyzing civic engagement that transcends clearly defined borders, while respecting the pluralistic experiences of a diverse world.</w:t>
      </w:r>
    </w:p>
    <w:p w14:paraId="44EEC163" w14:textId="77777777" w:rsidR="00A47E3A" w:rsidRPr="00694C5E" w:rsidRDefault="00A47E3A" w:rsidP="0044042E">
      <w:pPr>
        <w:spacing w:line="240" w:lineRule="auto"/>
        <w:contextualSpacing/>
        <w:jc w:val="both"/>
        <w:rPr>
          <w:rFonts w:ascii="Times New Roman" w:hAnsi="Times New Roman" w:cs="Times New Roman"/>
        </w:rPr>
      </w:pPr>
    </w:p>
    <w:p w14:paraId="167DC28B" w14:textId="77777777" w:rsidR="008B6C75" w:rsidRPr="00694C5E" w:rsidRDefault="008B6C75" w:rsidP="0044042E">
      <w:pPr>
        <w:spacing w:line="240" w:lineRule="auto"/>
        <w:contextualSpacing/>
        <w:jc w:val="both"/>
        <w:rPr>
          <w:rFonts w:ascii="Times New Roman" w:hAnsi="Times New Roman" w:cs="Times New Roman"/>
        </w:rPr>
      </w:pPr>
    </w:p>
    <w:p w14:paraId="719CFE39" w14:textId="77777777" w:rsidR="008B6C75" w:rsidRPr="00694C5E" w:rsidRDefault="00F542D7" w:rsidP="00B90D5B">
      <w:pPr>
        <w:pStyle w:val="Heading1"/>
        <w:numPr>
          <w:ilvl w:val="0"/>
          <w:numId w:val="1"/>
        </w:numPr>
        <w:rPr>
          <w:rFonts w:ascii="Times New Roman" w:hAnsi="Times New Roman" w:cs="Times New Roman"/>
        </w:rPr>
      </w:pPr>
      <w:r w:rsidRPr="00694C5E">
        <w:rPr>
          <w:rFonts w:ascii="Times New Roman" w:hAnsi="Times New Roman" w:cs="Times New Roman"/>
        </w:rPr>
        <w:t>State-Centric Citizenship and the Ossification of Civic Education</w:t>
      </w:r>
    </w:p>
    <w:p w14:paraId="2ED1C599" w14:textId="77777777" w:rsidR="00066985" w:rsidRPr="00694C5E" w:rsidRDefault="00066985" w:rsidP="0044042E">
      <w:pPr>
        <w:jc w:val="both"/>
        <w:rPr>
          <w:rFonts w:ascii="Times New Roman" w:eastAsia="Times New Roman" w:hAnsi="Times New Roman" w:cs="Times New Roman"/>
          <w:sz w:val="24"/>
          <w:highlight w:val="white"/>
        </w:rPr>
      </w:pPr>
    </w:p>
    <w:p w14:paraId="40963FD8" w14:textId="77777777" w:rsidR="00B415A1" w:rsidRPr="00694C5E" w:rsidRDefault="008C3619" w:rsidP="0044042E">
      <w:pPr>
        <w:jc w:val="both"/>
        <w:rPr>
          <w:rFonts w:ascii="Times New Roman" w:hAnsi="Times New Roman" w:cs="Times New Roman"/>
        </w:rPr>
      </w:pPr>
      <w:r w:rsidRPr="00694C5E">
        <w:rPr>
          <w:rFonts w:ascii="Times New Roman" w:eastAsia="Times New Roman" w:hAnsi="Times New Roman" w:cs="Times New Roman"/>
          <w:sz w:val="24"/>
          <w:highlight w:val="white"/>
        </w:rPr>
        <w:t>The notion of civic education is deeply rooted in the democratic ideals that sprung out of the Age of Enlightenment. Traditionally, civic engagement seemed to also implied statehood, that people are either born or migrated into a territory that was clearly demarcated by boundaries, from where various rights, privileges and responsibilities are ascribed to the people by the state, normatively grounded within the “social contract”</w:t>
      </w:r>
      <w:r w:rsidR="00B415A1" w:rsidRPr="00694C5E">
        <w:rPr>
          <w:rFonts w:ascii="Times New Roman" w:eastAsia="Times New Roman" w:hAnsi="Times New Roman" w:cs="Times New Roman"/>
          <w:sz w:val="24"/>
          <w:highlight w:val="white"/>
          <w:vertAlign w:val="superscript"/>
        </w:rPr>
        <w:footnoteReference w:id="4"/>
      </w:r>
      <w:r w:rsidR="00B415A1" w:rsidRPr="00694C5E">
        <w:rPr>
          <w:rFonts w:ascii="Times New Roman" w:eastAsia="Times New Roman" w:hAnsi="Times New Roman" w:cs="Times New Roman"/>
          <w:sz w:val="24"/>
          <w:highlight w:val="white"/>
        </w:rPr>
        <w:t xml:space="preserve"> The social contract conception of citizenship is grounded on the contradictory narratives concerning the hypothetical “State of Nature”.  On one hand, as Hobbes have argued, the “solitary”, “brutish” and “nasty” nature of ungoverned individuals must subject themselves under a commonwealth that commands them in all things, so that the violence consequences of the “State of Nature” can be avoided.</w:t>
      </w:r>
      <w:r w:rsidR="00B415A1" w:rsidRPr="00694C5E">
        <w:rPr>
          <w:rFonts w:ascii="Times New Roman" w:eastAsia="Times New Roman" w:hAnsi="Times New Roman" w:cs="Times New Roman"/>
          <w:sz w:val="24"/>
          <w:highlight w:val="white"/>
          <w:vertAlign w:val="superscript"/>
        </w:rPr>
        <w:footnoteReference w:id="5"/>
      </w:r>
      <w:r w:rsidR="00B415A1" w:rsidRPr="00694C5E">
        <w:rPr>
          <w:rFonts w:ascii="Times New Roman" w:eastAsia="Times New Roman" w:hAnsi="Times New Roman" w:cs="Times New Roman"/>
          <w:sz w:val="24"/>
          <w:highlight w:val="white"/>
        </w:rPr>
        <w:t xml:space="preserve"> Hobbes’s social contract theory provided the critical account for the legitimization of the state sovereignty—for the purpose of delivering us from an endless state of “war of all against all.” This view, of course, suggests that a state structure is always preferable to the conditions of the “state of nature.” Rousseau, on the other hand, framed the social contract in more positive terms, arguing that the social contract was made in the name of the common good and collective security, and people with “enlightened self-interest” would willingly give their consent to the rule of law. </w:t>
      </w:r>
      <w:r w:rsidR="00B415A1" w:rsidRPr="00694C5E">
        <w:rPr>
          <w:rFonts w:ascii="Times New Roman" w:eastAsia="Times New Roman" w:hAnsi="Times New Roman" w:cs="Times New Roman"/>
          <w:sz w:val="24"/>
          <w:highlight w:val="white"/>
        </w:rPr>
        <w:lastRenderedPageBreak/>
        <w:t>Rousseau’s notion of social contract provided an account of popular sovereignty, but which such sovereignty nonetheless presupposes the ordering of all citizens under a single moral community of the state.</w:t>
      </w:r>
      <w:r w:rsidR="00B415A1" w:rsidRPr="00694C5E">
        <w:rPr>
          <w:rFonts w:ascii="Times New Roman" w:eastAsia="Times New Roman" w:hAnsi="Times New Roman" w:cs="Times New Roman"/>
          <w:sz w:val="24"/>
          <w:highlight w:val="white"/>
          <w:vertAlign w:val="superscript"/>
        </w:rPr>
        <w:footnoteReference w:id="6"/>
      </w:r>
    </w:p>
    <w:p w14:paraId="5F1C2353" w14:textId="77777777" w:rsidR="00180685" w:rsidRPr="00694C5E" w:rsidRDefault="00180685" w:rsidP="00180685">
      <w:pPr>
        <w:jc w:val="both"/>
        <w:rPr>
          <w:rFonts w:ascii="Times New Roman" w:hAnsi="Times New Roman" w:cs="Times New Roman"/>
        </w:rPr>
      </w:pPr>
    </w:p>
    <w:p w14:paraId="55840988" w14:textId="77777777" w:rsidR="00180685" w:rsidRPr="00694C5E" w:rsidRDefault="00180685" w:rsidP="00180685">
      <w:pPr>
        <w:jc w:val="both"/>
        <w:rPr>
          <w:rFonts w:ascii="Times New Roman" w:hAnsi="Times New Roman" w:cs="Times New Roman"/>
        </w:rPr>
      </w:pPr>
      <w:r w:rsidRPr="00694C5E">
        <w:rPr>
          <w:rFonts w:ascii="Times New Roman" w:eastAsia="Times New Roman" w:hAnsi="Times New Roman" w:cs="Times New Roman"/>
          <w:sz w:val="24"/>
        </w:rPr>
        <w:t xml:space="preserve">The modern Realist conception of the world emerges from these two seemingly contradictory narratives of social contract: that a nation-state is bound by an indivisible moral community in its interiority, whereas in its exteriority exists an anarchic world of “war of all against all” among nations, where individual states are bound by no higher authority but their own national-interest. To be a citizen in this sense involves a commitment to a set of values, norms and practices that are organized around the state sovereignty, which in turn imposes order and rule of law that operates within the physical boundary of the state. The citizenship therefore ceases to exist beyond the scope of the state, as there is supposedly no higher sovereign power or rule of law beyond the state structure.    </w:t>
      </w:r>
    </w:p>
    <w:p w14:paraId="456E9334" w14:textId="77777777" w:rsidR="00180685" w:rsidRPr="00694C5E" w:rsidRDefault="00180685" w:rsidP="00180685">
      <w:pPr>
        <w:jc w:val="both"/>
        <w:rPr>
          <w:rFonts w:ascii="Times New Roman" w:hAnsi="Times New Roman" w:cs="Times New Roman"/>
        </w:rPr>
      </w:pPr>
    </w:p>
    <w:p w14:paraId="3E1201D7" w14:textId="77777777" w:rsidR="00B415A1" w:rsidRPr="00694C5E" w:rsidRDefault="00B415A1" w:rsidP="0044042E">
      <w:pPr>
        <w:jc w:val="both"/>
        <w:rPr>
          <w:rFonts w:ascii="Times New Roman" w:hAnsi="Times New Roman" w:cs="Times New Roman"/>
        </w:rPr>
      </w:pPr>
      <w:r w:rsidRPr="00694C5E">
        <w:rPr>
          <w:rFonts w:ascii="Times New Roman" w:eastAsia="Times New Roman" w:hAnsi="Times New Roman" w:cs="Times New Roman"/>
          <w:sz w:val="24"/>
          <w:highlight w:val="white"/>
        </w:rPr>
        <w:t>This traditional conception of citizenship grounded in the notions of state solidarity and international realism, however, is becoming increasingly disjointed with the functional realities of national and global affairs. With the globalization process and the rapid increase in the free movement of goods, services, capital, and knowledge across state borders (but not so much people), the vertical state-centric construct is being gradually displaced by the polycentric web of global governance frameworks. The globalization process, then, along with the formation of supranational/transnational entities (e.g. EU, IMF) has compelled us to consider the possibility of citizenship beyond state borders, which led to the emergence of contemporary cosmopolitan discourse that incorporates discussions on “economic (neoliberal) liberalism, political extraterritoriality, and transnational law.”</w:t>
      </w:r>
      <w:r w:rsidRPr="00694C5E">
        <w:rPr>
          <w:rFonts w:ascii="Times New Roman" w:eastAsia="Times New Roman" w:hAnsi="Times New Roman" w:cs="Times New Roman"/>
          <w:sz w:val="24"/>
          <w:highlight w:val="white"/>
          <w:vertAlign w:val="superscript"/>
        </w:rPr>
        <w:footnoteReference w:id="7"/>
      </w:r>
      <w:r w:rsidRPr="00694C5E">
        <w:rPr>
          <w:rFonts w:ascii="Times New Roman" w:eastAsia="Times New Roman" w:hAnsi="Times New Roman" w:cs="Times New Roman"/>
          <w:sz w:val="24"/>
          <w:highlight w:val="white"/>
        </w:rPr>
        <w:t xml:space="preserve"> This discursive development is also accompanied by the development of substantive value frameworks that extend beyond national borders, such as human rights norms, corporate social responsibility, and the neo-liberal notion of “free-trade”.</w:t>
      </w:r>
    </w:p>
    <w:p w14:paraId="53DD67AD" w14:textId="77777777" w:rsidR="00B415A1" w:rsidRPr="00694C5E" w:rsidRDefault="00B415A1" w:rsidP="0044042E">
      <w:pPr>
        <w:ind w:firstLine="720"/>
        <w:jc w:val="both"/>
        <w:rPr>
          <w:rFonts w:ascii="Times New Roman" w:hAnsi="Times New Roman" w:cs="Times New Roman"/>
        </w:rPr>
      </w:pPr>
    </w:p>
    <w:p w14:paraId="6FDF3821" w14:textId="77777777" w:rsidR="00B415A1" w:rsidRPr="00694C5E" w:rsidRDefault="00B415A1" w:rsidP="0044042E">
      <w:pPr>
        <w:jc w:val="both"/>
        <w:rPr>
          <w:rFonts w:ascii="Times New Roman" w:hAnsi="Times New Roman" w:cs="Times New Roman"/>
        </w:rPr>
      </w:pPr>
      <w:r w:rsidRPr="00694C5E">
        <w:rPr>
          <w:rFonts w:ascii="Times New Roman" w:eastAsia="Times New Roman" w:hAnsi="Times New Roman" w:cs="Times New Roman"/>
          <w:sz w:val="24"/>
          <w:highlight w:val="white"/>
        </w:rPr>
        <w:t>However, against this backdrop of substantive globalization, the concept of “citizenship” remains largely ossified within the traditional state-centric narrative structure. For instance, American historian and foreign policy analyst Robert Kagan recently highlighted this disjointedness of the idea citizenship by making the critical observation that Americans, when compared to their European counterparts, “generally see the world divided between good and evil, between friends and enemies… They favor coercion over persuasion, seek finality in international affairs.”</w:t>
      </w:r>
      <w:r w:rsidRPr="00694C5E">
        <w:rPr>
          <w:rFonts w:ascii="Times New Roman" w:eastAsia="Times New Roman" w:hAnsi="Times New Roman" w:cs="Times New Roman"/>
          <w:sz w:val="24"/>
          <w:highlight w:val="white"/>
          <w:vertAlign w:val="superscript"/>
        </w:rPr>
        <w:footnoteReference w:id="8"/>
      </w:r>
      <w:r w:rsidRPr="00694C5E">
        <w:rPr>
          <w:rFonts w:ascii="Times New Roman" w:eastAsia="Times New Roman" w:hAnsi="Times New Roman" w:cs="Times New Roman"/>
          <w:sz w:val="24"/>
          <w:highlight w:val="white"/>
        </w:rPr>
        <w:t xml:space="preserve">  Unfortunately, against this growing practical need for an imaginative framework of global citizenship, a coherent educational response to this future necessity “has barely begun to emerge”.</w:t>
      </w:r>
      <w:r w:rsidRPr="00694C5E">
        <w:rPr>
          <w:rFonts w:ascii="Times New Roman" w:eastAsia="Times New Roman" w:hAnsi="Times New Roman" w:cs="Times New Roman"/>
          <w:sz w:val="24"/>
          <w:highlight w:val="white"/>
          <w:vertAlign w:val="superscript"/>
        </w:rPr>
        <w:footnoteReference w:id="9"/>
      </w:r>
      <w:r w:rsidRPr="00694C5E">
        <w:rPr>
          <w:rFonts w:ascii="Times New Roman" w:eastAsia="Times New Roman" w:hAnsi="Times New Roman" w:cs="Times New Roman"/>
          <w:sz w:val="24"/>
          <w:highlight w:val="white"/>
        </w:rPr>
        <w:t xml:space="preserve"> </w:t>
      </w:r>
    </w:p>
    <w:p w14:paraId="6179337C" w14:textId="77777777" w:rsidR="00B415A1" w:rsidRPr="00694C5E" w:rsidRDefault="00B415A1" w:rsidP="0044042E">
      <w:pPr>
        <w:jc w:val="both"/>
        <w:rPr>
          <w:rFonts w:ascii="Times New Roman" w:eastAsia="Times New Roman" w:hAnsi="Times New Roman" w:cs="Times New Roman"/>
          <w:sz w:val="24"/>
          <w:highlight w:val="white"/>
        </w:rPr>
      </w:pPr>
    </w:p>
    <w:p w14:paraId="01B912AA" w14:textId="77777777" w:rsidR="00B415A1" w:rsidRPr="00694C5E" w:rsidRDefault="00B415A1" w:rsidP="0044042E">
      <w:pPr>
        <w:jc w:val="both"/>
        <w:rPr>
          <w:rFonts w:ascii="Times New Roman" w:hAnsi="Times New Roman" w:cs="Times New Roman"/>
        </w:rPr>
      </w:pPr>
      <w:r w:rsidRPr="00694C5E">
        <w:rPr>
          <w:rFonts w:ascii="Times New Roman" w:eastAsia="Times New Roman" w:hAnsi="Times New Roman" w:cs="Times New Roman"/>
          <w:sz w:val="24"/>
          <w:highlight w:val="white"/>
        </w:rPr>
        <w:lastRenderedPageBreak/>
        <w:t>Thus, what we have got into the habit of calling “civic engagement” in fact implies a homogenous political order grounded in the notion of nation-states. The rise of modern democratic society is accompanied by the dissolution of rural community life, where internally-oriented small rural communities are transformed into externally-oriented modern megacities or cosmopolitans.  Democratic society therefore presupposes exteriority in relationships, and that “society” only starts “where in-group bonding through kinship and totemic figures or myths ceases.”</w:t>
      </w:r>
      <w:r w:rsidRPr="00694C5E">
        <w:rPr>
          <w:rStyle w:val="FootnoteReference"/>
          <w:rFonts w:ascii="Times New Roman" w:eastAsia="Times New Roman" w:hAnsi="Times New Roman" w:cs="Times New Roman"/>
          <w:sz w:val="24"/>
          <w:highlight w:val="white"/>
        </w:rPr>
        <w:footnoteReference w:id="10"/>
      </w:r>
      <w:r w:rsidRPr="00694C5E">
        <w:rPr>
          <w:rFonts w:ascii="Times New Roman" w:eastAsia="Times New Roman" w:hAnsi="Times New Roman" w:cs="Times New Roman"/>
          <w:sz w:val="24"/>
          <w:highlight w:val="white"/>
        </w:rPr>
        <w:t xml:space="preserve"> The challenge of modern society, as Jean-Luc Nancy points out, is that the externalized interrelation of individuals motivated by interest and power displaces the symbolic meaning or truth of being-together as a community. Organizing individuals under the </w:t>
      </w:r>
      <w:r w:rsidRPr="00694C5E">
        <w:rPr>
          <w:rFonts w:ascii="Times New Roman" w:eastAsia="Times New Roman" w:hAnsi="Times New Roman" w:cs="Times New Roman"/>
          <w:i/>
          <w:sz w:val="24"/>
          <w:highlight w:val="white"/>
        </w:rPr>
        <w:t xml:space="preserve">mythos </w:t>
      </w:r>
      <w:r w:rsidRPr="00694C5E">
        <w:rPr>
          <w:rFonts w:ascii="Times New Roman" w:eastAsia="Times New Roman" w:hAnsi="Times New Roman" w:cs="Times New Roman"/>
          <w:sz w:val="24"/>
          <w:highlight w:val="white"/>
        </w:rPr>
        <w:t xml:space="preserve">of a sovereign state therefore restores a sense of symbolic communal solidarity, transforming individuals into fellow citizens, thus internalizes the exterior relations for “the good of the governed.” </w:t>
      </w:r>
    </w:p>
    <w:p w14:paraId="340DA57A" w14:textId="77777777" w:rsidR="00B415A1" w:rsidRPr="00694C5E" w:rsidRDefault="00B415A1" w:rsidP="0044042E">
      <w:pPr>
        <w:jc w:val="both"/>
        <w:rPr>
          <w:rFonts w:ascii="Times New Roman" w:eastAsia="Times New Roman" w:hAnsi="Times New Roman" w:cs="Times New Roman"/>
          <w:sz w:val="24"/>
          <w:highlight w:val="white"/>
        </w:rPr>
      </w:pPr>
    </w:p>
    <w:p w14:paraId="0A920920" w14:textId="77777777" w:rsidR="00B415A1" w:rsidRPr="00694C5E" w:rsidRDefault="00B415A1" w:rsidP="0044042E">
      <w:pPr>
        <w:jc w:val="both"/>
        <w:rPr>
          <w:rFonts w:ascii="Times New Roman" w:hAnsi="Times New Roman" w:cs="Times New Roman"/>
        </w:rPr>
      </w:pPr>
      <w:r w:rsidRPr="00694C5E">
        <w:rPr>
          <w:rFonts w:ascii="Times New Roman" w:eastAsia="Times New Roman" w:hAnsi="Times New Roman" w:cs="Times New Roman"/>
          <w:sz w:val="24"/>
          <w:highlight w:val="white"/>
        </w:rPr>
        <w:t xml:space="preserve">It is then possible to give an account of democratic life that transcends the totality of the state? The paper would argue that such vision is possible when we let go the </w:t>
      </w:r>
      <w:r w:rsidR="00484415" w:rsidRPr="00694C5E">
        <w:rPr>
          <w:rFonts w:ascii="Times New Roman" w:eastAsia="Times New Roman" w:hAnsi="Times New Roman" w:cs="Times New Roman"/>
          <w:sz w:val="24"/>
          <w:highlight w:val="white"/>
        </w:rPr>
        <w:t xml:space="preserve">static-centric </w:t>
      </w:r>
      <w:proofErr w:type="spellStart"/>
      <w:r w:rsidRPr="00694C5E">
        <w:rPr>
          <w:rFonts w:ascii="Times New Roman" w:eastAsia="Times New Roman" w:hAnsi="Times New Roman" w:cs="Times New Roman"/>
          <w:sz w:val="24"/>
          <w:highlight w:val="white"/>
        </w:rPr>
        <w:t>foundationalist</w:t>
      </w:r>
      <w:proofErr w:type="spellEnd"/>
      <w:r w:rsidRPr="00694C5E">
        <w:rPr>
          <w:rFonts w:ascii="Times New Roman" w:eastAsia="Times New Roman" w:hAnsi="Times New Roman" w:cs="Times New Roman"/>
          <w:sz w:val="24"/>
          <w:highlight w:val="white"/>
        </w:rPr>
        <w:t xml:space="preserve"> view of democracy and civic engagement. It follows that the “truth” of our existence is not grounded in some immutable prior design or collective destiny, but rather comes about “within the plurality of individuals into which dissolves any postulate of the unity of ‘being’”.</w:t>
      </w:r>
      <w:r w:rsidRPr="00694C5E">
        <w:rPr>
          <w:rFonts w:ascii="Times New Roman" w:eastAsia="Times New Roman" w:hAnsi="Times New Roman" w:cs="Times New Roman"/>
          <w:sz w:val="24"/>
          <w:highlight w:val="white"/>
          <w:vertAlign w:val="superscript"/>
        </w:rPr>
        <w:footnoteReference w:id="11"/>
      </w:r>
      <w:r w:rsidRPr="00694C5E">
        <w:rPr>
          <w:rFonts w:ascii="Times New Roman" w:eastAsia="Times New Roman" w:hAnsi="Times New Roman" w:cs="Times New Roman"/>
          <w:sz w:val="24"/>
          <w:highlight w:val="white"/>
        </w:rPr>
        <w:t xml:space="preserve"> It is important to note that this non-</w:t>
      </w:r>
      <w:proofErr w:type="spellStart"/>
      <w:r w:rsidRPr="00694C5E">
        <w:rPr>
          <w:rFonts w:ascii="Times New Roman" w:eastAsia="Times New Roman" w:hAnsi="Times New Roman" w:cs="Times New Roman"/>
          <w:sz w:val="24"/>
          <w:highlight w:val="white"/>
        </w:rPr>
        <w:t>foundationalist</w:t>
      </w:r>
      <w:proofErr w:type="spellEnd"/>
      <w:r w:rsidRPr="00694C5E">
        <w:rPr>
          <w:rFonts w:ascii="Times New Roman" w:eastAsia="Times New Roman" w:hAnsi="Times New Roman" w:cs="Times New Roman"/>
          <w:sz w:val="24"/>
          <w:highlight w:val="white"/>
        </w:rPr>
        <w:t xml:space="preserve"> notion of social solidarity does not render our existence meaningless; rather, it opens us to the infinite possibilities of meanings, invites us to converse with others, circulate, exchange or share possibilities of experience. This intersubjective commonality (</w:t>
      </w:r>
      <w:r w:rsidRPr="00694C5E">
        <w:rPr>
          <w:rFonts w:ascii="Times New Roman" w:eastAsia="Times New Roman" w:hAnsi="Times New Roman" w:cs="Times New Roman"/>
          <w:i/>
          <w:sz w:val="24"/>
          <w:highlight w:val="white"/>
        </w:rPr>
        <w:t xml:space="preserve">le </w:t>
      </w:r>
      <w:proofErr w:type="spellStart"/>
      <w:r w:rsidRPr="00694C5E">
        <w:rPr>
          <w:rFonts w:ascii="Times New Roman" w:eastAsia="Times New Roman" w:hAnsi="Times New Roman" w:cs="Times New Roman"/>
          <w:i/>
          <w:sz w:val="24"/>
          <w:highlight w:val="white"/>
        </w:rPr>
        <w:t>commun</w:t>
      </w:r>
      <w:proofErr w:type="spellEnd"/>
      <w:r w:rsidRPr="00694C5E">
        <w:rPr>
          <w:rFonts w:ascii="Times New Roman" w:eastAsia="Times New Roman" w:hAnsi="Times New Roman" w:cs="Times New Roman"/>
          <w:sz w:val="24"/>
          <w:highlight w:val="white"/>
        </w:rPr>
        <w:t>) signals the “possibility of an opening onto the infinitude”,</w:t>
      </w:r>
      <w:r w:rsidRPr="00694C5E">
        <w:rPr>
          <w:rFonts w:ascii="Times New Roman" w:eastAsia="Times New Roman" w:hAnsi="Times New Roman" w:cs="Times New Roman"/>
          <w:sz w:val="24"/>
          <w:highlight w:val="white"/>
          <w:vertAlign w:val="superscript"/>
        </w:rPr>
        <w:footnoteReference w:id="12"/>
      </w:r>
      <w:r w:rsidRPr="00694C5E">
        <w:rPr>
          <w:rFonts w:ascii="Times New Roman" w:eastAsia="Times New Roman" w:hAnsi="Times New Roman" w:cs="Times New Roman"/>
          <w:sz w:val="24"/>
          <w:highlight w:val="white"/>
        </w:rPr>
        <w:t xml:space="preserve"> the cosmopolitan state of existence marked by the circulation of meanings. The “commonality” here is not homogenous—it comprises multiples approaches to the order of meanings, “as in the diversity of the arts, thought, desire, the affects, and so on.”</w:t>
      </w:r>
      <w:r w:rsidRPr="00694C5E">
        <w:rPr>
          <w:rFonts w:ascii="Times New Roman" w:eastAsia="Times New Roman" w:hAnsi="Times New Roman" w:cs="Times New Roman"/>
          <w:sz w:val="24"/>
          <w:highlight w:val="white"/>
          <w:vertAlign w:val="superscript"/>
        </w:rPr>
        <w:footnoteReference w:id="13"/>
      </w:r>
      <w:r w:rsidRPr="00694C5E">
        <w:rPr>
          <w:rFonts w:ascii="Times New Roman" w:eastAsia="Times New Roman" w:hAnsi="Times New Roman" w:cs="Times New Roman"/>
          <w:sz w:val="24"/>
          <w:highlight w:val="white"/>
        </w:rPr>
        <w:t xml:space="preserve"> “Democracy” in this sense signifies the “admission without any heavenly assumption” of all diversities which does not seek to unify them. Likewise, politics and perhaps civic engagement also “must give the form of access to openness of the other forms: it is the antecedent of a condition of access, not a foundation of determination or of meaning.”</w:t>
      </w:r>
      <w:r w:rsidRPr="00694C5E">
        <w:rPr>
          <w:rFonts w:ascii="Times New Roman" w:eastAsia="Times New Roman" w:hAnsi="Times New Roman" w:cs="Times New Roman"/>
          <w:sz w:val="24"/>
          <w:highlight w:val="white"/>
          <w:vertAlign w:val="superscript"/>
        </w:rPr>
        <w:footnoteReference w:id="14"/>
      </w:r>
      <w:r w:rsidRPr="00694C5E">
        <w:rPr>
          <w:rFonts w:ascii="Times New Roman" w:eastAsia="Times New Roman" w:hAnsi="Times New Roman" w:cs="Times New Roman"/>
          <w:sz w:val="24"/>
          <w:highlight w:val="white"/>
        </w:rPr>
        <w:t xml:space="preserve"> It is in this sense that “global citizenship” resonates with Hannah Arendt’s notion of the “worldly” experience of human beings in their plurality sharing a “common world”.</w:t>
      </w:r>
      <w:r w:rsidRPr="00694C5E">
        <w:rPr>
          <w:rFonts w:ascii="Times New Roman" w:eastAsia="Times New Roman" w:hAnsi="Times New Roman" w:cs="Times New Roman"/>
          <w:sz w:val="24"/>
          <w:highlight w:val="white"/>
          <w:vertAlign w:val="superscript"/>
        </w:rPr>
        <w:footnoteReference w:id="15"/>
      </w:r>
    </w:p>
    <w:p w14:paraId="1F74C5E7" w14:textId="77777777" w:rsidR="00B415A1" w:rsidRPr="00694C5E" w:rsidRDefault="00B415A1" w:rsidP="0044042E">
      <w:pPr>
        <w:spacing w:line="240" w:lineRule="auto"/>
        <w:contextualSpacing/>
        <w:jc w:val="both"/>
        <w:rPr>
          <w:rFonts w:ascii="Times New Roman" w:hAnsi="Times New Roman" w:cs="Times New Roman"/>
        </w:rPr>
      </w:pPr>
    </w:p>
    <w:p w14:paraId="5DD8E803" w14:textId="77777777" w:rsidR="00B415A1" w:rsidRPr="00694C5E" w:rsidRDefault="00B415A1" w:rsidP="0044042E">
      <w:pPr>
        <w:spacing w:line="240" w:lineRule="auto"/>
        <w:contextualSpacing/>
        <w:jc w:val="both"/>
        <w:rPr>
          <w:rFonts w:ascii="Times New Roman" w:eastAsia="Times New Roman" w:hAnsi="Times New Roman" w:cs="Times New Roman"/>
          <w:b/>
          <w:sz w:val="24"/>
          <w:highlight w:val="white"/>
        </w:rPr>
      </w:pPr>
    </w:p>
    <w:p w14:paraId="6549A4A9" w14:textId="77777777" w:rsidR="00B415A1" w:rsidRPr="00694C5E" w:rsidRDefault="00B415A1" w:rsidP="00B90D5B">
      <w:pPr>
        <w:pStyle w:val="Heading1"/>
        <w:numPr>
          <w:ilvl w:val="0"/>
          <w:numId w:val="1"/>
        </w:numPr>
        <w:rPr>
          <w:rFonts w:ascii="Times New Roman" w:hAnsi="Times New Roman" w:cs="Times New Roman"/>
        </w:rPr>
      </w:pPr>
      <w:r w:rsidRPr="00694C5E">
        <w:rPr>
          <w:rFonts w:ascii="Times New Roman" w:hAnsi="Times New Roman" w:cs="Times New Roman"/>
          <w:highlight w:val="white"/>
        </w:rPr>
        <w:lastRenderedPageBreak/>
        <w:t>State System in the World of Polycentrism: Cosmopolitanism</w:t>
      </w:r>
      <w:r w:rsidRPr="00694C5E">
        <w:rPr>
          <w:rFonts w:ascii="Times New Roman" w:hAnsi="Times New Roman" w:cs="Times New Roman"/>
        </w:rPr>
        <w:t xml:space="preserve"> and </w:t>
      </w:r>
      <w:r w:rsidRPr="00694C5E">
        <w:rPr>
          <w:rFonts w:ascii="Times New Roman" w:hAnsi="Times New Roman" w:cs="Times New Roman"/>
          <w:highlight w:val="white"/>
        </w:rPr>
        <w:t>Global-Citizenship</w:t>
      </w:r>
    </w:p>
    <w:p w14:paraId="553EE4F9" w14:textId="77777777" w:rsidR="00B415A1" w:rsidRPr="00694C5E" w:rsidRDefault="00B415A1" w:rsidP="0044042E">
      <w:pPr>
        <w:spacing w:line="240" w:lineRule="auto"/>
        <w:contextualSpacing/>
        <w:jc w:val="both"/>
        <w:rPr>
          <w:rFonts w:ascii="Times New Roman" w:hAnsi="Times New Roman" w:cs="Times New Roman"/>
        </w:rPr>
      </w:pPr>
    </w:p>
    <w:p w14:paraId="68E30EC7" w14:textId="77777777" w:rsidR="00CE285D" w:rsidRPr="00694C5E" w:rsidRDefault="00CE285D" w:rsidP="00CE285D">
      <w:pPr>
        <w:spacing w:line="240" w:lineRule="auto"/>
        <w:contextualSpacing/>
        <w:jc w:val="both"/>
        <w:rPr>
          <w:rFonts w:ascii="Times New Roman" w:hAnsi="Times New Roman" w:cs="Times New Roman"/>
        </w:rPr>
      </w:pPr>
    </w:p>
    <w:p w14:paraId="69BADED4" w14:textId="77777777" w:rsidR="00CE285D" w:rsidRPr="00694C5E" w:rsidRDefault="00CE285D" w:rsidP="00CE285D">
      <w:pPr>
        <w:jc w:val="both"/>
        <w:rPr>
          <w:rFonts w:ascii="Times New Roman" w:hAnsi="Times New Roman" w:cs="Times New Roman"/>
        </w:rPr>
      </w:pPr>
      <w:r w:rsidRPr="00694C5E">
        <w:rPr>
          <w:rFonts w:ascii="Times New Roman" w:eastAsia="Times New Roman" w:hAnsi="Times New Roman" w:cs="Times New Roman"/>
          <w:sz w:val="24"/>
          <w:highlight w:val="white"/>
        </w:rPr>
        <w:t>The idea of “global citizenship” in fact can be traced back to the classical Western tradition, when Diogenes referred to himself as “a citizen of the world”—</w:t>
      </w:r>
      <w:proofErr w:type="gramStart"/>
      <w:r w:rsidRPr="00694C5E">
        <w:rPr>
          <w:rFonts w:ascii="Times New Roman" w:eastAsia="Times New Roman" w:hAnsi="Times New Roman" w:cs="Times New Roman"/>
          <w:sz w:val="24"/>
          <w:highlight w:val="white"/>
        </w:rPr>
        <w:t xml:space="preserve">a </w:t>
      </w:r>
      <w:proofErr w:type="spellStart"/>
      <w:r w:rsidRPr="00694C5E">
        <w:rPr>
          <w:rFonts w:ascii="Times New Roman" w:eastAsia="Times New Roman" w:hAnsi="Times New Roman" w:cs="Times New Roman"/>
          <w:i/>
          <w:sz w:val="24"/>
          <w:highlight w:val="white"/>
        </w:rPr>
        <w:t>kosmou</w:t>
      </w:r>
      <w:proofErr w:type="spellEnd"/>
      <w:proofErr w:type="gramEnd"/>
      <w:r w:rsidRPr="00694C5E">
        <w:rPr>
          <w:rFonts w:ascii="Times New Roman" w:eastAsia="Times New Roman" w:hAnsi="Times New Roman" w:cs="Times New Roman"/>
          <w:i/>
          <w:sz w:val="24"/>
          <w:highlight w:val="white"/>
        </w:rPr>
        <w:t xml:space="preserve"> </w:t>
      </w:r>
      <w:proofErr w:type="spellStart"/>
      <w:r w:rsidRPr="00694C5E">
        <w:rPr>
          <w:rFonts w:ascii="Times New Roman" w:eastAsia="Times New Roman" w:hAnsi="Times New Roman" w:cs="Times New Roman"/>
          <w:i/>
          <w:sz w:val="24"/>
          <w:highlight w:val="white"/>
        </w:rPr>
        <w:t>polites</w:t>
      </w:r>
      <w:proofErr w:type="spellEnd"/>
      <w:r w:rsidRPr="00694C5E">
        <w:rPr>
          <w:rFonts w:ascii="Times New Roman" w:eastAsia="Times New Roman" w:hAnsi="Times New Roman" w:cs="Times New Roman"/>
          <w:i/>
          <w:sz w:val="24"/>
          <w:highlight w:val="white"/>
        </w:rPr>
        <w:t xml:space="preserve"> </w:t>
      </w:r>
      <w:r w:rsidRPr="00694C5E">
        <w:rPr>
          <w:rFonts w:ascii="Times New Roman" w:eastAsia="Times New Roman" w:hAnsi="Times New Roman" w:cs="Times New Roman"/>
          <w:sz w:val="24"/>
          <w:highlight w:val="white"/>
        </w:rPr>
        <w:t>in Greek, from which we derive our word “cosmopolitan”.</w:t>
      </w:r>
      <w:r w:rsidRPr="00694C5E">
        <w:rPr>
          <w:rFonts w:ascii="Times New Roman" w:eastAsia="Times New Roman" w:hAnsi="Times New Roman" w:cs="Times New Roman"/>
          <w:sz w:val="24"/>
          <w:highlight w:val="white"/>
          <w:vertAlign w:val="superscript"/>
        </w:rPr>
        <w:footnoteReference w:id="16"/>
      </w:r>
      <w:r w:rsidRPr="00694C5E">
        <w:rPr>
          <w:rFonts w:ascii="Times New Roman" w:hAnsi="Times New Roman" w:cs="Times New Roman"/>
        </w:rPr>
        <w:t xml:space="preserve"> </w:t>
      </w:r>
      <w:r w:rsidRPr="00694C5E">
        <w:rPr>
          <w:rFonts w:ascii="Times New Roman" w:eastAsia="Times New Roman" w:hAnsi="Times New Roman" w:cs="Times New Roman"/>
          <w:sz w:val="24"/>
          <w:highlight w:val="white"/>
        </w:rPr>
        <w:t xml:space="preserve">The ideal of “global citizenship” is hardly a new concept; rather, it is an ideal that is rooted in the classical Hellenistic tradition.  We may credit Diogenes as the early visionary of being “a citizen of the world—a </w:t>
      </w:r>
      <w:proofErr w:type="spellStart"/>
      <w:r w:rsidRPr="00694C5E">
        <w:rPr>
          <w:rFonts w:ascii="Times New Roman" w:eastAsia="Times New Roman" w:hAnsi="Times New Roman" w:cs="Times New Roman"/>
          <w:i/>
          <w:sz w:val="24"/>
          <w:highlight w:val="white"/>
        </w:rPr>
        <w:t>kosmou</w:t>
      </w:r>
      <w:proofErr w:type="spellEnd"/>
      <w:r w:rsidRPr="00694C5E">
        <w:rPr>
          <w:rFonts w:ascii="Times New Roman" w:eastAsia="Times New Roman" w:hAnsi="Times New Roman" w:cs="Times New Roman"/>
          <w:i/>
          <w:sz w:val="24"/>
          <w:highlight w:val="white"/>
        </w:rPr>
        <w:t xml:space="preserve"> </w:t>
      </w:r>
      <w:proofErr w:type="spellStart"/>
      <w:r w:rsidRPr="00694C5E">
        <w:rPr>
          <w:rFonts w:ascii="Times New Roman" w:eastAsia="Times New Roman" w:hAnsi="Times New Roman" w:cs="Times New Roman"/>
          <w:i/>
          <w:sz w:val="24"/>
          <w:highlight w:val="white"/>
        </w:rPr>
        <w:t>polites</w:t>
      </w:r>
      <w:proofErr w:type="spellEnd"/>
      <w:r w:rsidRPr="00694C5E">
        <w:rPr>
          <w:rFonts w:ascii="Times New Roman" w:eastAsia="Times New Roman" w:hAnsi="Times New Roman" w:cs="Times New Roman"/>
          <w:i/>
          <w:sz w:val="24"/>
          <w:highlight w:val="white"/>
        </w:rPr>
        <w:t xml:space="preserve"> </w:t>
      </w:r>
      <w:r w:rsidRPr="00694C5E">
        <w:rPr>
          <w:rFonts w:ascii="Times New Roman" w:eastAsia="Times New Roman" w:hAnsi="Times New Roman" w:cs="Times New Roman"/>
          <w:sz w:val="24"/>
          <w:highlight w:val="white"/>
        </w:rPr>
        <w:t xml:space="preserve">in Greek”, from which we derive our word “cosmopolitan”.  It is important to note that for the concept of “world citizen” does not presuppose a world state (or </w:t>
      </w:r>
      <w:proofErr w:type="spellStart"/>
      <w:r w:rsidRPr="00694C5E">
        <w:rPr>
          <w:rFonts w:ascii="Times New Roman" w:eastAsia="Times New Roman" w:hAnsi="Times New Roman" w:cs="Times New Roman"/>
          <w:i/>
          <w:sz w:val="24"/>
          <w:highlight w:val="white"/>
        </w:rPr>
        <w:t>kosmopolis</w:t>
      </w:r>
      <w:proofErr w:type="spellEnd"/>
      <w:r w:rsidRPr="00694C5E">
        <w:rPr>
          <w:rFonts w:ascii="Times New Roman" w:eastAsia="Times New Roman" w:hAnsi="Times New Roman" w:cs="Times New Roman"/>
          <w:sz w:val="24"/>
          <w:highlight w:val="white"/>
        </w:rPr>
        <w:t>). The metaphor of global citizenship does not imply the ordering of all individuals under a single political monolith; instead, “cosmopolitan” simply suggests that “we should care about the fate of all our fellow human beings”, even for those that exist beyond our own immediate political community.</w:t>
      </w:r>
      <w:r w:rsidRPr="00694C5E">
        <w:rPr>
          <w:rFonts w:ascii="Times New Roman" w:eastAsia="Times New Roman" w:hAnsi="Times New Roman" w:cs="Times New Roman"/>
          <w:sz w:val="24"/>
          <w:highlight w:val="white"/>
          <w:vertAlign w:val="superscript"/>
        </w:rPr>
        <w:footnoteReference w:id="17"/>
      </w:r>
    </w:p>
    <w:p w14:paraId="4103527E" w14:textId="77777777" w:rsidR="00CE285D" w:rsidRPr="00694C5E" w:rsidRDefault="00CE285D" w:rsidP="00CE285D">
      <w:pPr>
        <w:jc w:val="both"/>
        <w:rPr>
          <w:rFonts w:ascii="Times New Roman" w:hAnsi="Times New Roman" w:cs="Times New Roman"/>
        </w:rPr>
      </w:pPr>
    </w:p>
    <w:p w14:paraId="37807FB2" w14:textId="77777777" w:rsidR="00CE285D" w:rsidRPr="00694C5E" w:rsidRDefault="00CE285D" w:rsidP="00CE285D">
      <w:pPr>
        <w:jc w:val="both"/>
        <w:rPr>
          <w:rFonts w:ascii="Times New Roman" w:hAnsi="Times New Roman" w:cs="Times New Roman"/>
        </w:rPr>
      </w:pPr>
      <w:r w:rsidRPr="00694C5E">
        <w:rPr>
          <w:rFonts w:ascii="Times New Roman" w:eastAsia="Times New Roman" w:hAnsi="Times New Roman" w:cs="Times New Roman"/>
          <w:sz w:val="24"/>
          <w:highlight w:val="white"/>
        </w:rPr>
        <w:t xml:space="preserve">While Diogenes’ vision of a “citizen of the world” might be disjointed from the political realities of classical Greece, this ancient cosmopolitan ideal was made relevant by the process of globalization. The notion of “citizenship”, according to </w:t>
      </w:r>
      <w:proofErr w:type="spellStart"/>
      <w:r w:rsidRPr="00694C5E">
        <w:rPr>
          <w:rFonts w:ascii="Times New Roman" w:eastAsia="Times New Roman" w:hAnsi="Times New Roman" w:cs="Times New Roman"/>
          <w:sz w:val="24"/>
          <w:highlight w:val="white"/>
        </w:rPr>
        <w:t>Appiah</w:t>
      </w:r>
      <w:proofErr w:type="spellEnd"/>
      <w:r w:rsidRPr="00694C5E">
        <w:rPr>
          <w:rFonts w:ascii="Times New Roman" w:eastAsia="Times New Roman" w:hAnsi="Times New Roman" w:cs="Times New Roman"/>
          <w:sz w:val="24"/>
          <w:highlight w:val="white"/>
        </w:rPr>
        <w:t>, is reified through two key conditions: “knowledge about the lives of other citizens, on the one hand, and the power to affect them, on the other.”</w:t>
      </w:r>
      <w:r w:rsidRPr="00694C5E">
        <w:rPr>
          <w:rFonts w:ascii="Times New Roman" w:eastAsia="Times New Roman" w:hAnsi="Times New Roman" w:cs="Times New Roman"/>
          <w:sz w:val="24"/>
          <w:highlight w:val="white"/>
          <w:vertAlign w:val="superscript"/>
        </w:rPr>
        <w:footnoteReference w:id="18"/>
      </w:r>
      <w:r w:rsidRPr="00694C5E">
        <w:rPr>
          <w:rFonts w:ascii="Times New Roman" w:eastAsia="Times New Roman" w:hAnsi="Times New Roman" w:cs="Times New Roman"/>
          <w:sz w:val="24"/>
          <w:highlight w:val="white"/>
        </w:rPr>
        <w:t xml:space="preserve"> As discrete human communities are gradually being drawn into an interconnected web of global commerce and information, we have arrived to a point where we can realistically imagine contacting and conversing with any other human being in the world. The awareness of our potentiality in conversing with distant others would is also accompanied by the growing awareness of our potential power to affect them, for better or worse. </w:t>
      </w:r>
    </w:p>
    <w:p w14:paraId="57AF93EC" w14:textId="77777777" w:rsidR="00CE285D" w:rsidRPr="00694C5E" w:rsidRDefault="00CE285D" w:rsidP="00CE285D">
      <w:pPr>
        <w:jc w:val="both"/>
        <w:rPr>
          <w:rFonts w:ascii="Times New Roman" w:hAnsi="Times New Roman" w:cs="Times New Roman"/>
        </w:rPr>
      </w:pPr>
    </w:p>
    <w:p w14:paraId="05CAB0C9" w14:textId="77777777" w:rsidR="00CE285D" w:rsidRPr="00694C5E" w:rsidRDefault="00CE285D" w:rsidP="00CE285D">
      <w:pPr>
        <w:jc w:val="both"/>
        <w:rPr>
          <w:rFonts w:ascii="Times New Roman" w:hAnsi="Times New Roman" w:cs="Times New Roman"/>
        </w:rPr>
      </w:pPr>
      <w:r w:rsidRPr="00694C5E">
        <w:rPr>
          <w:rFonts w:ascii="Times New Roman" w:eastAsia="Times New Roman" w:hAnsi="Times New Roman" w:cs="Times New Roman"/>
          <w:sz w:val="24"/>
          <w:highlight w:val="white"/>
        </w:rPr>
        <w:t>The notion of cosmopolitanism is resisted by two kinds of social forces: those who reject the legitimacy of commonality, and those who deny the legitimacy of difference.</w:t>
      </w:r>
      <w:r w:rsidRPr="00694C5E">
        <w:rPr>
          <w:rFonts w:ascii="Times New Roman" w:eastAsia="Times New Roman" w:hAnsi="Times New Roman" w:cs="Times New Roman"/>
          <w:sz w:val="24"/>
          <w:highlight w:val="white"/>
          <w:vertAlign w:val="superscript"/>
        </w:rPr>
        <w:footnoteReference w:id="19"/>
      </w:r>
      <w:r w:rsidRPr="00694C5E">
        <w:rPr>
          <w:rFonts w:ascii="Times New Roman" w:eastAsia="Times New Roman" w:hAnsi="Times New Roman" w:cs="Times New Roman"/>
          <w:sz w:val="24"/>
          <w:highlight w:val="white"/>
        </w:rPr>
        <w:t xml:space="preserve"> The former often reject the notion of all humans being-together in a common world in the name of individual and national interests, whereas the latter often unwilling to embrace different others who do not share their own conceptions of Truth and Universality. In this light, </w:t>
      </w:r>
      <w:proofErr w:type="spellStart"/>
      <w:r w:rsidRPr="00694C5E">
        <w:rPr>
          <w:rFonts w:ascii="Times New Roman" w:eastAsia="Times New Roman" w:hAnsi="Times New Roman" w:cs="Times New Roman"/>
          <w:sz w:val="24"/>
          <w:highlight w:val="white"/>
        </w:rPr>
        <w:t>Appiah</w:t>
      </w:r>
      <w:proofErr w:type="spellEnd"/>
      <w:r w:rsidRPr="00694C5E">
        <w:rPr>
          <w:rFonts w:ascii="Times New Roman" w:eastAsia="Times New Roman" w:hAnsi="Times New Roman" w:cs="Times New Roman"/>
          <w:sz w:val="24"/>
          <w:highlight w:val="white"/>
        </w:rPr>
        <w:t xml:space="preserve"> distinguishes “benign” and “malign” forms of universality. The key difference between “benign” and “malign” </w:t>
      </w:r>
      <w:proofErr w:type="gramStart"/>
      <w:r w:rsidRPr="00694C5E">
        <w:rPr>
          <w:rFonts w:ascii="Times New Roman" w:eastAsia="Times New Roman" w:hAnsi="Times New Roman" w:cs="Times New Roman"/>
          <w:sz w:val="24"/>
          <w:highlight w:val="white"/>
        </w:rPr>
        <w:t>universalists</w:t>
      </w:r>
      <w:proofErr w:type="gramEnd"/>
      <w:r w:rsidRPr="00694C5E">
        <w:rPr>
          <w:rFonts w:ascii="Times New Roman" w:eastAsia="Times New Roman" w:hAnsi="Times New Roman" w:cs="Times New Roman"/>
          <w:sz w:val="24"/>
          <w:highlight w:val="white"/>
        </w:rPr>
        <w:t xml:space="preserve"> is that the former is marked by their commitment to </w:t>
      </w:r>
      <w:r w:rsidRPr="00694C5E">
        <w:rPr>
          <w:rFonts w:ascii="Times New Roman" w:eastAsia="Times New Roman" w:hAnsi="Times New Roman" w:cs="Times New Roman"/>
          <w:i/>
          <w:sz w:val="24"/>
          <w:highlight w:val="white"/>
        </w:rPr>
        <w:t>pluralism</w:t>
      </w:r>
      <w:r w:rsidRPr="00694C5E">
        <w:rPr>
          <w:rFonts w:ascii="Times New Roman" w:eastAsia="Times New Roman" w:hAnsi="Times New Roman" w:cs="Times New Roman"/>
          <w:sz w:val="24"/>
          <w:highlight w:val="white"/>
        </w:rPr>
        <w:t xml:space="preserve"> (expectation of difference) and to </w:t>
      </w:r>
      <w:proofErr w:type="spellStart"/>
      <w:r w:rsidRPr="00694C5E">
        <w:rPr>
          <w:rFonts w:ascii="Times New Roman" w:eastAsia="Times New Roman" w:hAnsi="Times New Roman" w:cs="Times New Roman"/>
          <w:i/>
          <w:sz w:val="24"/>
          <w:highlight w:val="white"/>
        </w:rPr>
        <w:t>fallibilism</w:t>
      </w:r>
      <w:proofErr w:type="spellEnd"/>
      <w:r w:rsidRPr="00694C5E">
        <w:rPr>
          <w:rFonts w:ascii="Times New Roman" w:eastAsia="Times New Roman" w:hAnsi="Times New Roman" w:cs="Times New Roman"/>
          <w:i/>
          <w:sz w:val="24"/>
          <w:highlight w:val="white"/>
        </w:rPr>
        <w:t xml:space="preserve"> </w:t>
      </w:r>
      <w:r w:rsidRPr="00694C5E">
        <w:rPr>
          <w:rFonts w:ascii="Times New Roman" w:eastAsia="Times New Roman" w:hAnsi="Times New Roman" w:cs="Times New Roman"/>
          <w:sz w:val="24"/>
          <w:highlight w:val="white"/>
        </w:rPr>
        <w:t>(expectation of imperfect knowledge), whereas the latter takes the fundamentalist conception of a global totality (e.g. a global Islamic nation).</w:t>
      </w:r>
      <w:r w:rsidRPr="00694C5E">
        <w:rPr>
          <w:rFonts w:ascii="Times New Roman" w:eastAsia="Times New Roman" w:hAnsi="Times New Roman" w:cs="Times New Roman"/>
          <w:sz w:val="24"/>
          <w:highlight w:val="white"/>
          <w:vertAlign w:val="superscript"/>
        </w:rPr>
        <w:footnoteReference w:id="20"/>
      </w:r>
    </w:p>
    <w:p w14:paraId="4BECBFA6" w14:textId="77777777" w:rsidR="00CE285D" w:rsidRPr="00694C5E" w:rsidRDefault="00CE285D" w:rsidP="00CE285D">
      <w:pPr>
        <w:ind w:firstLine="720"/>
        <w:jc w:val="both"/>
        <w:rPr>
          <w:rFonts w:ascii="Times New Roman" w:hAnsi="Times New Roman" w:cs="Times New Roman"/>
        </w:rPr>
      </w:pPr>
    </w:p>
    <w:p w14:paraId="548118B9" w14:textId="77777777" w:rsidR="00CE285D" w:rsidRPr="00694C5E" w:rsidRDefault="00CE285D" w:rsidP="00CE285D">
      <w:pPr>
        <w:jc w:val="both"/>
        <w:rPr>
          <w:rFonts w:ascii="Times New Roman" w:eastAsia="Times New Roman" w:hAnsi="Times New Roman" w:cs="Times New Roman"/>
          <w:sz w:val="24"/>
          <w:highlight w:val="white"/>
        </w:rPr>
      </w:pPr>
      <w:r w:rsidRPr="00694C5E">
        <w:rPr>
          <w:rFonts w:ascii="Times New Roman" w:eastAsia="Times New Roman" w:hAnsi="Times New Roman" w:cs="Times New Roman"/>
          <w:sz w:val="24"/>
          <w:highlight w:val="white"/>
        </w:rPr>
        <w:lastRenderedPageBreak/>
        <w:t xml:space="preserve">The global civil society, therefore, is a product of growing social awareness when individuals are becoming increasingly aware of their relative social and historical position, as well as awareness on the indirect consequences of the actions of others. The management of social consequences does not imply physically eliminating other individuals, rather, to reform and manage their actions through the production of knowledge. Thus arise various institutions, plans, techniques and mechanisms to secure consequences which are liked and eliminate those which are found undesirable. On the other hand, institutions of power are also trapped in a contradiction: given the globalization process and the pervasive sustained gaze of the public, one’s own culture is being continuously brought to visible light with rapid and frequent encounters with others. This global interconnectedness creates opportunities and challenges in various spheres of our lives—social, political, economic, environmental, military etc., and also allows all of us to have the potential capacity to affect one another, for better or worse, through the circulation of meanings.  </w:t>
      </w:r>
    </w:p>
    <w:p w14:paraId="779E4DBE" w14:textId="77777777" w:rsidR="00CE285D" w:rsidRPr="00694C5E" w:rsidRDefault="00CE285D" w:rsidP="00CE285D">
      <w:pPr>
        <w:jc w:val="both"/>
        <w:rPr>
          <w:rFonts w:ascii="Times New Roman" w:eastAsia="Times New Roman" w:hAnsi="Times New Roman" w:cs="Times New Roman"/>
          <w:sz w:val="24"/>
          <w:highlight w:val="white"/>
        </w:rPr>
      </w:pPr>
    </w:p>
    <w:p w14:paraId="0F195861" w14:textId="77777777" w:rsidR="00B415A1" w:rsidRPr="00694C5E" w:rsidRDefault="00B415A1" w:rsidP="0044042E">
      <w:pPr>
        <w:jc w:val="both"/>
        <w:rPr>
          <w:rFonts w:ascii="Times New Roman" w:hAnsi="Times New Roman" w:cs="Times New Roman"/>
        </w:rPr>
      </w:pPr>
      <w:r w:rsidRPr="00694C5E">
        <w:rPr>
          <w:rFonts w:ascii="Times New Roman" w:eastAsia="Times New Roman" w:hAnsi="Times New Roman" w:cs="Times New Roman"/>
          <w:sz w:val="24"/>
          <w:highlight w:val="white"/>
        </w:rPr>
        <w:t>Instead of “a new phenomenon”, it is perhaps more helpful to think consider the concept of global citizenship</w:t>
      </w:r>
      <w:r w:rsidRPr="00694C5E">
        <w:rPr>
          <w:rFonts w:ascii="Times New Roman" w:eastAsia="Times New Roman" w:hAnsi="Times New Roman" w:cs="Times New Roman"/>
          <w:i/>
          <w:sz w:val="24"/>
          <w:highlight w:val="white"/>
        </w:rPr>
        <w:t xml:space="preserve"> </w:t>
      </w:r>
      <w:r w:rsidRPr="00694C5E">
        <w:rPr>
          <w:rFonts w:ascii="Times New Roman" w:eastAsia="Times New Roman" w:hAnsi="Times New Roman" w:cs="Times New Roman"/>
          <w:sz w:val="24"/>
          <w:highlight w:val="white"/>
        </w:rPr>
        <w:t>as a contemporary recapitulation of a governance structure that appeared in a variety of different guises over the centuries. In terms of global government, one can understand traditional mode of polycentricity</w:t>
      </w:r>
      <w:r w:rsidRPr="00694C5E">
        <w:rPr>
          <w:rStyle w:val="FootnoteReference"/>
          <w:rFonts w:ascii="Times New Roman" w:eastAsia="Times New Roman" w:hAnsi="Times New Roman" w:cs="Times New Roman"/>
          <w:sz w:val="24"/>
          <w:highlight w:val="white"/>
        </w:rPr>
        <w:footnoteReference w:id="21"/>
      </w:r>
      <w:r w:rsidRPr="00694C5E">
        <w:rPr>
          <w:rFonts w:ascii="Times New Roman" w:eastAsia="Times New Roman" w:hAnsi="Times New Roman" w:cs="Times New Roman"/>
          <w:sz w:val="24"/>
          <w:highlight w:val="white"/>
        </w:rPr>
        <w:t xml:space="preserve"> as the primordial antecedent to global citizenship--the simultaneous application of multiple governing or governance systems to a particular object or transaction. It is important to note that the notion of multiple differentiated systems of laws and customs that applied simultaneously is a quite ancient one. Consider the pre-modern Europe, when medieval decentralization represented a historical form of this multiple and complex mosaic of governance at the time—the law of the Roman Catholic church, the law of the monarchs, the law of the lesser feudal lords, the customs of the country, the customs of the particular ethnic groups within the place.</w:t>
      </w:r>
      <w:r w:rsidRPr="00694C5E">
        <w:rPr>
          <w:rStyle w:val="FootnoteReference"/>
          <w:rFonts w:ascii="Times New Roman" w:eastAsia="Times New Roman" w:hAnsi="Times New Roman" w:cs="Times New Roman"/>
          <w:sz w:val="24"/>
          <w:highlight w:val="white"/>
        </w:rPr>
        <w:footnoteReference w:id="22"/>
      </w:r>
    </w:p>
    <w:p w14:paraId="5A603982" w14:textId="77777777" w:rsidR="00B415A1" w:rsidRPr="00694C5E" w:rsidRDefault="00B415A1" w:rsidP="0044042E">
      <w:pPr>
        <w:jc w:val="both"/>
        <w:rPr>
          <w:rFonts w:ascii="Times New Roman" w:eastAsia="Times New Roman" w:hAnsi="Times New Roman" w:cs="Times New Roman"/>
          <w:sz w:val="24"/>
          <w:highlight w:val="white"/>
        </w:rPr>
      </w:pPr>
    </w:p>
    <w:p w14:paraId="388B19E0" w14:textId="77777777" w:rsidR="00B415A1" w:rsidRPr="00694C5E" w:rsidRDefault="00B415A1" w:rsidP="00484415">
      <w:pPr>
        <w:pStyle w:val="Default"/>
        <w:spacing w:line="276" w:lineRule="auto"/>
        <w:jc w:val="both"/>
        <w:rPr>
          <w:rFonts w:ascii="Times New Roman" w:hAnsi="Times New Roman" w:cs="Times New Roman"/>
        </w:rPr>
      </w:pPr>
      <w:r w:rsidRPr="00694C5E">
        <w:rPr>
          <w:rFonts w:ascii="Times New Roman" w:eastAsia="Times New Roman" w:hAnsi="Times New Roman" w:cs="Times New Roman"/>
          <w:highlight w:val="white"/>
        </w:rPr>
        <w:t xml:space="preserve">Traditionally, the notion of global citizenship is a problematic one, especially when looking at harmonizing a heterogeneous governance order. If there are multiple rule frameworks simultaneously applicable to a particular transaction or body of transactions, the possibility of creating concurrent and equally applicable obligations creates a tension and a contradiction that cannot be resolved. There are two potential ways to deal with such difficulty: one is to </w:t>
      </w:r>
      <w:r w:rsidRPr="00694C5E">
        <w:rPr>
          <w:rFonts w:ascii="Times New Roman" w:eastAsia="Times New Roman" w:hAnsi="Times New Roman" w:cs="Times New Roman"/>
          <w:highlight w:val="white"/>
        </w:rPr>
        <w:lastRenderedPageBreak/>
        <w:t>harmonize various rule frameworks so all relevant systems of governance will impose functionally differentiated and yet harmonized rules to a particular object of regulation, with substantial level of tolerance for local deviation without fundamentality breaking the larger system. Alternatively, one may deal with the challenge of multiple systems by creating vertical hierarchy.   The latter option happened with the rise of the nation-state structure after the 17</w:t>
      </w:r>
      <w:r w:rsidRPr="00694C5E">
        <w:rPr>
          <w:rFonts w:ascii="Times New Roman" w:eastAsia="Times New Roman" w:hAnsi="Times New Roman" w:cs="Times New Roman"/>
          <w:highlight w:val="white"/>
          <w:vertAlign w:val="superscript"/>
        </w:rPr>
        <w:t>th</w:t>
      </w:r>
      <w:r w:rsidRPr="00694C5E">
        <w:rPr>
          <w:rFonts w:ascii="Times New Roman" w:eastAsia="Times New Roman" w:hAnsi="Times New Roman" w:cs="Times New Roman"/>
          <w:highlight w:val="white"/>
        </w:rPr>
        <w:t xml:space="preserve"> century</w:t>
      </w:r>
      <w:r w:rsidR="00484415" w:rsidRPr="00694C5E">
        <w:rPr>
          <w:rFonts w:ascii="Times New Roman" w:eastAsia="Times New Roman" w:hAnsi="Times New Roman" w:cs="Times New Roman"/>
          <w:highlight w:val="white"/>
        </w:rPr>
        <w:t xml:space="preserve"> Europe. With the rise of modern Europe, history</w:t>
      </w:r>
      <w:r w:rsidRPr="00694C5E">
        <w:rPr>
          <w:rFonts w:ascii="Times New Roman" w:eastAsia="Times New Roman" w:hAnsi="Times New Roman" w:cs="Times New Roman"/>
          <w:highlight w:val="white"/>
        </w:rPr>
        <w:t xml:space="preserve"> first decide</w:t>
      </w:r>
      <w:r w:rsidR="00484415" w:rsidRPr="00694C5E">
        <w:rPr>
          <w:rFonts w:ascii="Times New Roman" w:eastAsia="Times New Roman" w:hAnsi="Times New Roman" w:cs="Times New Roman"/>
          <w:highlight w:val="white"/>
        </w:rPr>
        <w:t>d</w:t>
      </w:r>
      <w:r w:rsidRPr="00694C5E">
        <w:rPr>
          <w:rFonts w:ascii="Times New Roman" w:eastAsia="Times New Roman" w:hAnsi="Times New Roman" w:cs="Times New Roman"/>
          <w:highlight w:val="white"/>
        </w:rPr>
        <w:t xml:space="preserve"> that religion is now taken out of the matrix explicitly, and then develop</w:t>
      </w:r>
      <w:r w:rsidR="00484415" w:rsidRPr="00694C5E">
        <w:rPr>
          <w:rFonts w:ascii="Times New Roman" w:eastAsia="Times New Roman" w:hAnsi="Times New Roman" w:cs="Times New Roman"/>
          <w:highlight w:val="white"/>
        </w:rPr>
        <w:t>ed</w:t>
      </w:r>
      <w:r w:rsidRPr="00694C5E">
        <w:rPr>
          <w:rFonts w:ascii="Times New Roman" w:eastAsia="Times New Roman" w:hAnsi="Times New Roman" w:cs="Times New Roman"/>
          <w:highlight w:val="white"/>
        </w:rPr>
        <w:t xml:space="preserve"> a system grounded in a hierarchy of law that implicitly takes in a bunch of social norms</w:t>
      </w:r>
      <w:r w:rsidR="00484415" w:rsidRPr="00694C5E">
        <w:rPr>
          <w:rFonts w:ascii="Times New Roman" w:eastAsia="Times New Roman" w:hAnsi="Times New Roman" w:cs="Times New Roman"/>
          <w:highlight w:val="white"/>
        </w:rPr>
        <w:t xml:space="preserve"> and values</w:t>
      </w:r>
      <w:r w:rsidRPr="00694C5E">
        <w:rPr>
          <w:rFonts w:ascii="Times New Roman" w:eastAsia="Times New Roman" w:hAnsi="Times New Roman" w:cs="Times New Roman"/>
          <w:highlight w:val="white"/>
        </w:rPr>
        <w:t xml:space="preserve">, </w:t>
      </w:r>
      <w:r w:rsidR="00A2480B" w:rsidRPr="00694C5E">
        <w:rPr>
          <w:rFonts w:ascii="Times New Roman" w:eastAsia="Times New Roman" w:hAnsi="Times New Roman" w:cs="Times New Roman"/>
          <w:highlight w:val="white"/>
        </w:rPr>
        <w:t>and encapsulate them into</w:t>
      </w:r>
      <w:r w:rsidRPr="00694C5E">
        <w:rPr>
          <w:rFonts w:ascii="Times New Roman" w:eastAsia="Times New Roman" w:hAnsi="Times New Roman" w:cs="Times New Roman"/>
          <w:highlight w:val="white"/>
        </w:rPr>
        <w:t xml:space="preserve"> a formalist, singular, vertically arranged system that clusters around the state as the highest</w:t>
      </w:r>
      <w:r w:rsidR="00A2480B" w:rsidRPr="00694C5E">
        <w:rPr>
          <w:rFonts w:ascii="Times New Roman" w:eastAsia="Times New Roman" w:hAnsi="Times New Roman" w:cs="Times New Roman"/>
          <w:highlight w:val="white"/>
        </w:rPr>
        <w:t xml:space="preserve"> form of political organization. The state system in turn is assumed to be</w:t>
      </w:r>
      <w:r w:rsidRPr="00694C5E">
        <w:rPr>
          <w:rFonts w:ascii="Times New Roman" w:eastAsia="Times New Roman" w:hAnsi="Times New Roman" w:cs="Times New Roman"/>
          <w:highlight w:val="white"/>
        </w:rPr>
        <w:t xml:space="preserve"> cognizant of its responsibility to protect social norms, including religious norms, but carving out an area that we’ll call law, which is given its own peculiar majesty in the background of political power, and then ordered and organized through the state system, starting from the highest element of state organization apparatus all the way down to the bottom. This vertical state-centric power configuration reaches its finest flowering in the 1930s.</w:t>
      </w:r>
      <w:r w:rsidR="00484415" w:rsidRPr="00694C5E">
        <w:rPr>
          <w:rFonts w:ascii="Times New Roman" w:hAnsi="Times New Roman" w:cs="Times New Roman"/>
        </w:rPr>
        <w:t xml:space="preserve"> </w:t>
      </w:r>
    </w:p>
    <w:p w14:paraId="4B6C848F" w14:textId="77777777" w:rsidR="00B415A1" w:rsidRPr="00694C5E" w:rsidRDefault="00B415A1" w:rsidP="0044042E">
      <w:pPr>
        <w:jc w:val="both"/>
        <w:rPr>
          <w:rFonts w:ascii="Times New Roman" w:eastAsia="Times New Roman" w:hAnsi="Times New Roman" w:cs="Times New Roman"/>
          <w:sz w:val="24"/>
          <w:highlight w:val="white"/>
        </w:rPr>
      </w:pPr>
    </w:p>
    <w:p w14:paraId="1D264827" w14:textId="77777777" w:rsidR="00992566" w:rsidRPr="00694C5E" w:rsidRDefault="00B415A1" w:rsidP="00992566">
      <w:pPr>
        <w:pStyle w:val="Default"/>
        <w:spacing w:line="276" w:lineRule="auto"/>
        <w:jc w:val="both"/>
        <w:rPr>
          <w:rFonts w:ascii="Times New Roman" w:hAnsi="Times New Roman" w:cs="Times New Roman"/>
        </w:rPr>
      </w:pPr>
      <w:r w:rsidRPr="00694C5E">
        <w:rPr>
          <w:rFonts w:ascii="Times New Roman" w:eastAsia="Times New Roman" w:hAnsi="Times New Roman" w:cs="Times New Roman"/>
          <w:highlight w:val="white"/>
        </w:rPr>
        <w:t>All of this is then redone and reorganized and the world starts changing rapidly since the end of World War II, when the international community sought to build a supranational edifice for the purpose of managing the commerce and the use of force among nations,</w:t>
      </w:r>
      <w:r w:rsidRPr="00694C5E">
        <w:rPr>
          <w:rStyle w:val="FootnoteReference"/>
          <w:rFonts w:ascii="Times New Roman" w:eastAsia="Times New Roman" w:hAnsi="Times New Roman" w:cs="Times New Roman"/>
          <w:highlight w:val="white"/>
        </w:rPr>
        <w:footnoteReference w:id="23"/>
      </w:r>
      <w:r w:rsidRPr="00694C5E">
        <w:rPr>
          <w:rFonts w:ascii="Times New Roman" w:eastAsia="Times New Roman" w:hAnsi="Times New Roman" w:cs="Times New Roman"/>
          <w:highlight w:val="white"/>
        </w:rPr>
        <w:t xml:space="preserve"> which then crystalized into series of aspirational frameworks of security, commerce, rule of law constraints.</w:t>
      </w:r>
      <w:r w:rsidRPr="00694C5E">
        <w:rPr>
          <w:rStyle w:val="FootnoteReference"/>
          <w:rFonts w:ascii="Times New Roman" w:eastAsia="Times New Roman" w:hAnsi="Times New Roman" w:cs="Times New Roman"/>
          <w:highlight w:val="white"/>
        </w:rPr>
        <w:footnoteReference w:id="24"/>
      </w:r>
      <w:r w:rsidRPr="00694C5E">
        <w:rPr>
          <w:rFonts w:ascii="Times New Roman" w:eastAsia="Times New Roman" w:hAnsi="Times New Roman" w:cs="Times New Roman"/>
          <w:highlight w:val="white"/>
        </w:rPr>
        <w:t xml:space="preserve"> This process gives rise to the U.N. structure and the structure of public and international organizations, some of which also had legislative authority as well. Initially, the pre-existing vertical state construct remained relatively intact—the newly formed supranational framework merely functioned as the representation of the community of states creating a set of law through conventional treaty law and international law, and the law of nation states retained its privilege over everything else. Both national and international programs for the advancement of human rights have proceeded from the presumption that all regulation must be grounded on state legal systems.</w:t>
      </w:r>
      <w:r w:rsidR="00992566" w:rsidRPr="00694C5E">
        <w:rPr>
          <w:rFonts w:ascii="Times New Roman" w:eastAsia="Times New Roman" w:hAnsi="Times New Roman" w:cs="Times New Roman"/>
        </w:rPr>
        <w:t xml:space="preserve"> </w:t>
      </w:r>
      <w:r w:rsidR="00992566" w:rsidRPr="00694C5E">
        <w:rPr>
          <w:rFonts w:ascii="Times New Roman" w:hAnsi="Times New Roman" w:cs="Times New Roman"/>
        </w:rPr>
        <w:t>The state system, introduced by the Peace Treaty of Westphalia in 1648</w:t>
      </w:r>
      <w:r w:rsidR="00992566" w:rsidRPr="00694C5E">
        <w:rPr>
          <w:rStyle w:val="FootnoteReference"/>
          <w:rFonts w:ascii="Times New Roman" w:hAnsi="Times New Roman" w:cs="Times New Roman"/>
        </w:rPr>
        <w:footnoteReference w:id="25"/>
      </w:r>
      <w:r w:rsidR="00992566" w:rsidRPr="00694C5E">
        <w:rPr>
          <w:rFonts w:ascii="Times New Roman" w:hAnsi="Times New Roman" w:cs="Times New Roman"/>
        </w:rPr>
        <w:t xml:space="preserve"> and </w:t>
      </w:r>
      <w:r w:rsidR="00992566" w:rsidRPr="00694C5E">
        <w:rPr>
          <w:rFonts w:ascii="Times New Roman" w:hAnsi="Times New Roman" w:cs="Times New Roman"/>
        </w:rPr>
        <w:lastRenderedPageBreak/>
        <w:t>strengthened by the UN architecture, was meant to not only maintain, yet preserve the state based system. The primacy of this system created forms of international stability, due to the legitimacy of self-determination and autonomy, and as a result, allowed states to turn their attention at their own populations.</w:t>
      </w:r>
    </w:p>
    <w:p w14:paraId="60AAD0B7" w14:textId="77777777" w:rsidR="00B415A1" w:rsidRPr="00694C5E" w:rsidRDefault="00B415A1" w:rsidP="0044042E">
      <w:pPr>
        <w:jc w:val="both"/>
        <w:rPr>
          <w:rFonts w:ascii="Times New Roman" w:eastAsia="Times New Roman" w:hAnsi="Times New Roman" w:cs="Times New Roman"/>
          <w:sz w:val="24"/>
          <w:highlight w:val="white"/>
        </w:rPr>
      </w:pPr>
    </w:p>
    <w:p w14:paraId="1415E070" w14:textId="77777777" w:rsidR="00B415A1" w:rsidRPr="00694C5E" w:rsidRDefault="00B415A1" w:rsidP="0044042E">
      <w:pPr>
        <w:jc w:val="both"/>
        <w:rPr>
          <w:rFonts w:ascii="Times New Roman" w:hAnsi="Times New Roman" w:cs="Times New Roman"/>
        </w:rPr>
      </w:pPr>
      <w:r w:rsidRPr="00694C5E">
        <w:rPr>
          <w:rFonts w:ascii="Times New Roman" w:eastAsia="Times New Roman" w:hAnsi="Times New Roman" w:cs="Times New Roman"/>
          <w:sz w:val="24"/>
          <w:highlight w:val="white"/>
        </w:rPr>
        <w:t xml:space="preserve">With the globalization process and the rapid increase in the free movement of goods, capital, and investments across state borders, the vertical state-centric construct is being gradually displaced by the polycentric web of global governance framework. Globalization does something very strange—on the substantive level, it softens and eliminates the state-centric structures (such as national borders) and triggered the need to develop structures of rules that would govern objects and transactions that are no longer containable within a state as they’re moving across these borders. Suddenly, to this vertically-ordered arrangement, this “skyscraper,” we have now added huge blocks of birds and geese and sheep that are walking through the building horizontally, up and down, and every which way, without anything in the building controlling it. As a consequence, there arose a need for polycentricity, because of the transnational nature of the operations of these objects and transactions across borders, across states, and through markets, for the creation of governance forms for their own self-governance. You have, for example, the rise of what Gunther </w:t>
      </w:r>
      <w:proofErr w:type="spellStart"/>
      <w:r w:rsidRPr="00694C5E">
        <w:rPr>
          <w:rFonts w:ascii="Times New Roman" w:eastAsia="Times New Roman" w:hAnsi="Times New Roman" w:cs="Times New Roman"/>
          <w:sz w:val="24"/>
          <w:highlight w:val="white"/>
        </w:rPr>
        <w:t>Teubner</w:t>
      </w:r>
      <w:proofErr w:type="spellEnd"/>
      <w:r w:rsidRPr="00694C5E">
        <w:rPr>
          <w:rFonts w:ascii="Times New Roman" w:eastAsia="Times New Roman" w:hAnsi="Times New Roman" w:cs="Times New Roman"/>
          <w:sz w:val="24"/>
          <w:highlight w:val="white"/>
        </w:rPr>
        <w:t xml:space="preserve"> calls “societal constitutionalism,”</w:t>
      </w:r>
      <w:r w:rsidRPr="00694C5E">
        <w:rPr>
          <w:rFonts w:ascii="Times New Roman" w:eastAsia="Times New Roman" w:hAnsi="Times New Roman" w:cs="Times New Roman"/>
          <w:sz w:val="40"/>
          <w:highlight w:val="white"/>
          <w:vertAlign w:val="superscript"/>
        </w:rPr>
        <w:t xml:space="preserve"> </w:t>
      </w:r>
      <w:r w:rsidRPr="00694C5E">
        <w:rPr>
          <w:rFonts w:ascii="Times New Roman" w:eastAsia="Times New Roman" w:hAnsi="Times New Roman" w:cs="Times New Roman"/>
          <w:sz w:val="24"/>
          <w:highlight w:val="white"/>
        </w:rPr>
        <w:t xml:space="preserve">that is, the rise of a polycentric </w:t>
      </w:r>
      <w:r w:rsidRPr="00694C5E">
        <w:rPr>
          <w:rFonts w:ascii="Times New Roman" w:eastAsia="Times New Roman" w:hAnsi="Times New Roman" w:cs="Times New Roman"/>
          <w:i/>
          <w:sz w:val="24"/>
          <w:highlight w:val="white"/>
        </w:rPr>
        <w:t>legal consciousness</w:t>
      </w:r>
      <w:r w:rsidRPr="00694C5E">
        <w:rPr>
          <w:rFonts w:ascii="Times New Roman" w:eastAsia="Times New Roman" w:hAnsi="Times New Roman" w:cs="Times New Roman"/>
          <w:sz w:val="24"/>
          <w:highlight w:val="white"/>
        </w:rPr>
        <w:t xml:space="preserve"> of the world society, among groups that are tied together by the externally-oriented relationship to each other.</w:t>
      </w:r>
      <w:r w:rsidRPr="00694C5E">
        <w:rPr>
          <w:rStyle w:val="FootnoteReference"/>
          <w:rFonts w:ascii="Times New Roman" w:eastAsia="Times New Roman" w:hAnsi="Times New Roman" w:cs="Times New Roman"/>
          <w:sz w:val="24"/>
          <w:highlight w:val="white"/>
        </w:rPr>
        <w:footnoteReference w:id="26"/>
      </w:r>
      <w:r w:rsidRPr="00694C5E">
        <w:rPr>
          <w:rFonts w:ascii="Times New Roman" w:eastAsia="Times New Roman" w:hAnsi="Times New Roman" w:cs="Times New Roman"/>
          <w:sz w:val="24"/>
          <w:highlight w:val="white"/>
        </w:rPr>
        <w:t xml:space="preserve"> The </w:t>
      </w:r>
      <w:r w:rsidRPr="00694C5E">
        <w:rPr>
          <w:rFonts w:ascii="Times New Roman" w:eastAsia="Times New Roman" w:hAnsi="Times New Roman" w:cs="Times New Roman"/>
          <w:i/>
          <w:sz w:val="24"/>
          <w:highlight w:val="white"/>
        </w:rPr>
        <w:t>legal consciousness</w:t>
      </w:r>
      <w:r w:rsidRPr="00694C5E">
        <w:rPr>
          <w:rFonts w:ascii="Times New Roman" w:eastAsia="Times New Roman" w:hAnsi="Times New Roman" w:cs="Times New Roman"/>
          <w:sz w:val="24"/>
          <w:highlight w:val="white"/>
        </w:rPr>
        <w:t xml:space="preserve"> of the world society is not homogenous—it comprises multiples approaches to the order of law, and resonates with Hannah Arendt’s notion of the “worldly” experience of human beings in their plurality sharing a common world.</w:t>
      </w:r>
      <w:r w:rsidRPr="00694C5E">
        <w:rPr>
          <w:rStyle w:val="FootnoteReference"/>
          <w:rFonts w:ascii="Times New Roman" w:eastAsia="Times New Roman" w:hAnsi="Times New Roman" w:cs="Times New Roman"/>
          <w:sz w:val="24"/>
          <w:highlight w:val="white"/>
        </w:rPr>
        <w:footnoteReference w:id="27"/>
      </w:r>
    </w:p>
    <w:p w14:paraId="264FE801" w14:textId="77777777" w:rsidR="00B415A1" w:rsidRPr="00694C5E" w:rsidRDefault="00B415A1" w:rsidP="0044042E">
      <w:pPr>
        <w:jc w:val="both"/>
        <w:rPr>
          <w:rFonts w:ascii="Times New Roman" w:eastAsia="Times New Roman" w:hAnsi="Times New Roman" w:cs="Times New Roman"/>
          <w:sz w:val="24"/>
          <w:highlight w:val="white"/>
        </w:rPr>
      </w:pPr>
    </w:p>
    <w:p w14:paraId="6284347F" w14:textId="77777777" w:rsidR="00B415A1" w:rsidRPr="00694C5E" w:rsidRDefault="00B415A1" w:rsidP="0044042E">
      <w:pPr>
        <w:jc w:val="both"/>
        <w:rPr>
          <w:rFonts w:ascii="Times New Roman" w:hAnsi="Times New Roman" w:cs="Times New Roman"/>
        </w:rPr>
      </w:pPr>
      <w:r w:rsidRPr="00694C5E">
        <w:rPr>
          <w:rFonts w:ascii="Times New Roman" w:eastAsia="Times New Roman" w:hAnsi="Times New Roman" w:cs="Times New Roman"/>
          <w:sz w:val="24"/>
          <w:highlight w:val="white"/>
        </w:rPr>
        <w:t xml:space="preserve">Theoretical abstractions aside, there are substantive institutional developments that support the hypothesis on the emergence of the global civil society. The institutionalization of transnational spaces initially took off after the end of World War II, when the international community sought to build a supranational edifice for the purpose of managing the commerce and the use of force </w:t>
      </w:r>
      <w:r w:rsidRPr="00694C5E">
        <w:rPr>
          <w:rFonts w:ascii="Times New Roman" w:eastAsia="Times New Roman" w:hAnsi="Times New Roman" w:cs="Times New Roman"/>
          <w:sz w:val="24"/>
          <w:highlight w:val="white"/>
        </w:rPr>
        <w:lastRenderedPageBreak/>
        <w:t>among nations,</w:t>
      </w:r>
      <w:r w:rsidRPr="00694C5E">
        <w:rPr>
          <w:rFonts w:ascii="Times New Roman" w:eastAsia="Times New Roman" w:hAnsi="Times New Roman" w:cs="Times New Roman"/>
          <w:sz w:val="24"/>
          <w:highlight w:val="white"/>
          <w:vertAlign w:val="superscript"/>
        </w:rPr>
        <w:footnoteReference w:id="28"/>
      </w:r>
      <w:r w:rsidRPr="00694C5E">
        <w:rPr>
          <w:rFonts w:ascii="Times New Roman" w:eastAsia="Times New Roman" w:hAnsi="Times New Roman" w:cs="Times New Roman"/>
          <w:sz w:val="24"/>
          <w:highlight w:val="white"/>
        </w:rPr>
        <w:t xml:space="preserve"> which then crystallized into series of aspirational frameworks of security, commerce, rule of law constraints.</w:t>
      </w:r>
      <w:r w:rsidRPr="00694C5E">
        <w:rPr>
          <w:rFonts w:ascii="Times New Roman" w:eastAsia="Times New Roman" w:hAnsi="Times New Roman" w:cs="Times New Roman"/>
          <w:sz w:val="24"/>
          <w:highlight w:val="white"/>
          <w:vertAlign w:val="superscript"/>
        </w:rPr>
        <w:footnoteReference w:id="29"/>
      </w:r>
      <w:r w:rsidRPr="00694C5E">
        <w:rPr>
          <w:rFonts w:ascii="Times New Roman" w:eastAsia="Times New Roman" w:hAnsi="Times New Roman" w:cs="Times New Roman"/>
          <w:sz w:val="24"/>
          <w:highlight w:val="white"/>
        </w:rPr>
        <w:t xml:space="preserve"> This process gives rise to the U.N. architecture and the structure of public and international organizations, some of which also had legislative authority as well.</w:t>
      </w:r>
      <w:r w:rsidRPr="00694C5E">
        <w:rPr>
          <w:rFonts w:ascii="Times New Roman" w:eastAsia="Times New Roman" w:hAnsi="Times New Roman" w:cs="Times New Roman"/>
          <w:sz w:val="24"/>
          <w:highlight w:val="white"/>
          <w:vertAlign w:val="superscript"/>
        </w:rPr>
        <w:footnoteReference w:id="30"/>
      </w:r>
      <w:r w:rsidRPr="00694C5E">
        <w:rPr>
          <w:rFonts w:ascii="Times New Roman" w:eastAsia="Times New Roman" w:hAnsi="Times New Roman" w:cs="Times New Roman"/>
          <w:sz w:val="24"/>
          <w:highlight w:val="white"/>
        </w:rPr>
        <w:t xml:space="preserve"> Initially, the pre-existing vertical state construct remained relatively intact—the newly formed supranational framework merely functioned as the representation of the community of states creating a set of law through conventional treaty law, and the law of nation states retained its privilege over everything else. Both national and international programs for the advancement of human rights have proceeded from the presumption that all rights protections must be grounded on state legal systems.</w:t>
      </w:r>
      <w:r w:rsidRPr="00694C5E">
        <w:rPr>
          <w:rFonts w:ascii="Times New Roman" w:eastAsia="Times New Roman" w:hAnsi="Times New Roman" w:cs="Times New Roman"/>
          <w:sz w:val="24"/>
          <w:highlight w:val="white"/>
          <w:vertAlign w:val="superscript"/>
        </w:rPr>
        <w:footnoteReference w:id="31"/>
      </w:r>
      <w:r w:rsidRPr="00694C5E">
        <w:rPr>
          <w:rFonts w:ascii="Times New Roman" w:eastAsia="Times New Roman" w:hAnsi="Times New Roman" w:cs="Times New Roman"/>
          <w:sz w:val="24"/>
          <w:highlight w:val="white"/>
        </w:rPr>
        <w:t xml:space="preserve">  Of course human rights did not emerge from a vacuum—many of its core principles have long been encoded in the legal architecture of states as civil-political rights or constitutional rights. But the post-WWII global system also led to the </w:t>
      </w:r>
      <w:proofErr w:type="spellStart"/>
      <w:r w:rsidRPr="00694C5E">
        <w:rPr>
          <w:rFonts w:ascii="Times New Roman" w:eastAsia="Times New Roman" w:hAnsi="Times New Roman" w:cs="Times New Roman"/>
          <w:sz w:val="24"/>
          <w:highlight w:val="white"/>
        </w:rPr>
        <w:t>transnationalization</w:t>
      </w:r>
      <w:proofErr w:type="spellEnd"/>
      <w:r w:rsidRPr="00694C5E">
        <w:rPr>
          <w:rFonts w:ascii="Times New Roman" w:eastAsia="Times New Roman" w:hAnsi="Times New Roman" w:cs="Times New Roman"/>
          <w:sz w:val="24"/>
          <w:highlight w:val="white"/>
        </w:rPr>
        <w:t xml:space="preserve"> of Western civil-political rights into universalizing human rights, expressed initially through the adoption of the Universal Declaration of Human Rights in 1948. </w:t>
      </w:r>
    </w:p>
    <w:p w14:paraId="04DEC694" w14:textId="77777777" w:rsidR="00B415A1" w:rsidRPr="00694C5E" w:rsidRDefault="00B415A1" w:rsidP="0044042E">
      <w:pPr>
        <w:ind w:firstLine="720"/>
        <w:jc w:val="both"/>
        <w:rPr>
          <w:rFonts w:ascii="Times New Roman" w:hAnsi="Times New Roman" w:cs="Times New Roman"/>
        </w:rPr>
      </w:pPr>
    </w:p>
    <w:p w14:paraId="7174D874" w14:textId="77777777" w:rsidR="00B415A1" w:rsidRPr="00694C5E" w:rsidRDefault="00B415A1" w:rsidP="0044042E">
      <w:pPr>
        <w:jc w:val="both"/>
        <w:rPr>
          <w:rFonts w:ascii="Times New Roman" w:eastAsia="Times New Roman" w:hAnsi="Times New Roman" w:cs="Times New Roman"/>
          <w:sz w:val="24"/>
        </w:rPr>
      </w:pPr>
      <w:r w:rsidRPr="00694C5E">
        <w:rPr>
          <w:rFonts w:ascii="Times New Roman" w:eastAsia="Times New Roman" w:hAnsi="Times New Roman" w:cs="Times New Roman"/>
          <w:sz w:val="24"/>
          <w:highlight w:val="white"/>
        </w:rPr>
        <w:t>Globalization, and the expansion of the powers of non-state actors, especially multinational enterprises (MNEs) and international organizations (IOs), have given rise to the need and expectation that these enterprises have responsibilities that parallel those of states, especially with respect to the protection of economic, social, political and cultural rights of individuals.</w:t>
      </w:r>
      <w:r w:rsidRPr="00694C5E">
        <w:rPr>
          <w:rFonts w:ascii="Times New Roman" w:eastAsia="Times New Roman" w:hAnsi="Times New Roman" w:cs="Times New Roman"/>
          <w:sz w:val="24"/>
          <w:highlight w:val="white"/>
          <w:vertAlign w:val="superscript"/>
        </w:rPr>
        <w:footnoteReference w:id="32"/>
      </w:r>
      <w:r w:rsidRPr="00694C5E">
        <w:rPr>
          <w:rFonts w:ascii="Times New Roman" w:eastAsia="Times New Roman" w:hAnsi="Times New Roman" w:cs="Times New Roman"/>
          <w:sz w:val="24"/>
          <w:highlight w:val="white"/>
        </w:rPr>
        <w:t xml:space="preserve"> At the same time, the enforcement of global human rights is problematic because supranational entities (such as multinational corporations) often operates beyond the jurisdiction of any single state, and that socio-economic and cultural rights are yet to be fully recognized as “universal human rights”. Although notion of human rights, as an outgrowth of Western notions of civil-political rights and the reflection from the tragedies that savaged the world during World War II, has become an anchor of international legal system.</w:t>
      </w:r>
      <w:r w:rsidRPr="00694C5E">
        <w:rPr>
          <w:rFonts w:ascii="Times New Roman" w:eastAsia="Times New Roman" w:hAnsi="Times New Roman" w:cs="Times New Roman"/>
          <w:sz w:val="24"/>
          <w:highlight w:val="white"/>
          <w:vertAlign w:val="superscript"/>
        </w:rPr>
        <w:footnoteReference w:id="33"/>
      </w:r>
      <w:r w:rsidRPr="00694C5E">
        <w:rPr>
          <w:rFonts w:ascii="Times New Roman" w:eastAsia="Times New Roman" w:hAnsi="Times New Roman" w:cs="Times New Roman"/>
          <w:sz w:val="24"/>
          <w:highlight w:val="white"/>
        </w:rPr>
        <w:t xml:space="preserve">  However, there is lack of global </w:t>
      </w:r>
      <w:r w:rsidRPr="00694C5E">
        <w:rPr>
          <w:rFonts w:ascii="Times New Roman" w:eastAsia="Times New Roman" w:hAnsi="Times New Roman" w:cs="Times New Roman"/>
          <w:sz w:val="24"/>
          <w:highlight w:val="white"/>
        </w:rPr>
        <w:lastRenderedPageBreak/>
        <w:t>consensus on the parameter of human rights standards, and whether socio-economic and cultural rights are protected by any prevailing formal frameworks of international law.</w:t>
      </w:r>
      <w:r w:rsidRPr="00694C5E">
        <w:rPr>
          <w:rFonts w:ascii="Times New Roman" w:eastAsia="Times New Roman" w:hAnsi="Times New Roman" w:cs="Times New Roman"/>
          <w:sz w:val="24"/>
          <w:highlight w:val="white"/>
          <w:vertAlign w:val="superscript"/>
        </w:rPr>
        <w:footnoteReference w:id="34"/>
      </w:r>
    </w:p>
    <w:p w14:paraId="2AA0DF4A" w14:textId="77777777" w:rsidR="00CE285D" w:rsidRDefault="00CE285D" w:rsidP="0044042E">
      <w:pPr>
        <w:jc w:val="both"/>
        <w:rPr>
          <w:rFonts w:ascii="Times New Roman" w:eastAsia="Times New Roman" w:hAnsi="Times New Roman" w:cs="Times New Roman"/>
          <w:sz w:val="24"/>
        </w:rPr>
      </w:pPr>
    </w:p>
    <w:p w14:paraId="78A2EB2D" w14:textId="77777777" w:rsidR="008E1C6B" w:rsidRPr="00694C5E" w:rsidRDefault="008E1C6B" w:rsidP="008E1C6B">
      <w:pPr>
        <w:jc w:val="both"/>
        <w:rPr>
          <w:rFonts w:ascii="Times New Roman" w:eastAsia="Times New Roman" w:hAnsi="Times New Roman" w:cs="Times New Roman"/>
          <w:color w:val="000000" w:themeColor="text1"/>
          <w:sz w:val="24"/>
          <w:szCs w:val="24"/>
        </w:rPr>
      </w:pPr>
      <w:r w:rsidRPr="00694C5E">
        <w:rPr>
          <w:rFonts w:ascii="Times New Roman" w:eastAsia="Times New Roman" w:hAnsi="Times New Roman" w:cs="Times New Roman"/>
          <w:color w:val="000000" w:themeColor="text1"/>
          <w:sz w:val="24"/>
          <w:szCs w:val="24"/>
        </w:rPr>
        <w:t>The foundations for human rights pedagogy have been built into the human rights architecture since its creation in 1948.</w:t>
      </w:r>
      <w:r w:rsidRPr="00694C5E">
        <w:rPr>
          <w:rStyle w:val="FootnoteReference"/>
          <w:rFonts w:ascii="Times New Roman" w:eastAsia="Times New Roman" w:hAnsi="Times New Roman" w:cs="Times New Roman"/>
          <w:color w:val="000000" w:themeColor="text1"/>
          <w:sz w:val="24"/>
          <w:szCs w:val="24"/>
        </w:rPr>
        <w:footnoteReference w:id="35"/>
      </w:r>
      <w:r w:rsidRPr="00694C5E">
        <w:rPr>
          <w:rFonts w:ascii="Times New Roman" w:eastAsia="Times New Roman" w:hAnsi="Times New Roman" w:cs="Times New Roman"/>
          <w:color w:val="000000" w:themeColor="text1"/>
          <w:sz w:val="24"/>
          <w:szCs w:val="24"/>
        </w:rPr>
        <w:t xml:space="preserve"> Indeed, in the preamble to the 1948 Universal Declaration of Human Rights (UDHRs), it stated that there needs to be “a common understanding” of human rights and individual freedoms which, it argues, “is of the greatest importance for the full realization” of achieving universal human rights.  It further stresses that nation-states “shall strive by teaching and education to promote respect for these rights and freedoms and by progressive measures, national and international, to secure their universal and effective recognition and observance, both among the peoples of Member States themselves and among the peoples of territories under their jurisdiction.”  </w:t>
      </w:r>
      <w:r w:rsidRPr="00694C5E">
        <w:rPr>
          <w:rFonts w:ascii="Times New Roman" w:eastAsia="Times New Roman" w:hAnsi="Times New Roman" w:cs="Times New Roman"/>
          <w:color w:val="000000" w:themeColor="text1"/>
          <w:sz w:val="24"/>
          <w:szCs w:val="24"/>
          <w:vertAlign w:val="superscript"/>
        </w:rPr>
        <w:footnoteReference w:id="36"/>
      </w:r>
      <w:r w:rsidRPr="00694C5E">
        <w:rPr>
          <w:rFonts w:ascii="Times New Roman" w:eastAsia="Times New Roman" w:hAnsi="Times New Roman" w:cs="Times New Roman"/>
          <w:color w:val="000000" w:themeColor="text1"/>
          <w:sz w:val="24"/>
          <w:szCs w:val="24"/>
        </w:rPr>
        <w:t xml:space="preserve"> </w:t>
      </w:r>
    </w:p>
    <w:p w14:paraId="1D2520A0" w14:textId="77777777" w:rsidR="008E1C6B" w:rsidRPr="00694C5E" w:rsidRDefault="008E1C6B" w:rsidP="008E1C6B">
      <w:pPr>
        <w:jc w:val="both"/>
        <w:rPr>
          <w:rFonts w:ascii="Times New Roman" w:eastAsia="Times New Roman" w:hAnsi="Times New Roman" w:cs="Times New Roman"/>
          <w:color w:val="000000" w:themeColor="text1"/>
          <w:sz w:val="24"/>
          <w:szCs w:val="24"/>
        </w:rPr>
      </w:pPr>
    </w:p>
    <w:p w14:paraId="34615698" w14:textId="77777777" w:rsidR="008E1C6B" w:rsidRPr="00694C5E" w:rsidRDefault="008E1C6B" w:rsidP="008E1C6B">
      <w:pPr>
        <w:jc w:val="both"/>
        <w:rPr>
          <w:rFonts w:ascii="Times New Roman" w:eastAsia="Times New Roman" w:hAnsi="Times New Roman" w:cs="Times New Roman"/>
          <w:color w:val="000000" w:themeColor="text1"/>
          <w:sz w:val="24"/>
          <w:szCs w:val="24"/>
        </w:rPr>
      </w:pPr>
      <w:r w:rsidRPr="00694C5E">
        <w:rPr>
          <w:rFonts w:ascii="Times New Roman" w:eastAsia="Times New Roman" w:hAnsi="Times New Roman" w:cs="Times New Roman"/>
          <w:color w:val="000000" w:themeColor="text1"/>
          <w:sz w:val="24"/>
          <w:szCs w:val="24"/>
        </w:rPr>
        <w:t>More recent international developments have spoken to these admonitions. For example, Bill Bowing has noted that various international initiates have included these notions of integrating “education” and “human rights.”</w:t>
      </w:r>
      <w:r w:rsidRPr="00694C5E">
        <w:rPr>
          <w:rFonts w:ascii="Times New Roman" w:eastAsia="Times New Roman" w:hAnsi="Times New Roman" w:cs="Times New Roman"/>
          <w:color w:val="000000" w:themeColor="text1"/>
          <w:sz w:val="24"/>
          <w:szCs w:val="24"/>
          <w:vertAlign w:val="superscript"/>
        </w:rPr>
        <w:footnoteReference w:id="37"/>
      </w:r>
      <w:r w:rsidRPr="00694C5E">
        <w:rPr>
          <w:rFonts w:ascii="Times New Roman" w:eastAsia="Times New Roman" w:hAnsi="Times New Roman" w:cs="Times New Roman"/>
          <w:color w:val="000000" w:themeColor="text1"/>
          <w:sz w:val="24"/>
          <w:szCs w:val="24"/>
        </w:rPr>
        <w:t xml:space="preserve"> This integration has evolved in two distinct ways: the first has been represented in the right to an education, embodied within article 26 of the UDHR, stating that universal access to education is indeed a human right;</w:t>
      </w:r>
      <w:r w:rsidRPr="00694C5E">
        <w:rPr>
          <w:rFonts w:ascii="Times New Roman" w:eastAsia="Times New Roman" w:hAnsi="Times New Roman" w:cs="Times New Roman"/>
          <w:color w:val="000000" w:themeColor="text1"/>
          <w:sz w:val="24"/>
          <w:szCs w:val="24"/>
          <w:vertAlign w:val="superscript"/>
        </w:rPr>
        <w:footnoteReference w:id="38"/>
      </w:r>
      <w:r w:rsidRPr="00694C5E">
        <w:rPr>
          <w:rFonts w:ascii="Times New Roman" w:eastAsia="Times New Roman" w:hAnsi="Times New Roman" w:cs="Times New Roman"/>
          <w:color w:val="000000" w:themeColor="text1"/>
          <w:sz w:val="24"/>
          <w:szCs w:val="24"/>
        </w:rPr>
        <w:t xml:space="preserve"> and the second has been human rights education (HRE). HRE has been grounded on the constriction of structures coupled with the harmonization of norms within preexisting systems that allow the integration of a human rights curriculum.   In this chapter, we tend to focus on the latter, while still providing credence to the former, which, are in fact, interlinked.  The second model has been echoed my many international initiatives. UNESCO, for example, had created The UNESCO Recommendation, which is concerned with education for an international understanding, co-operation and peace and education relating to human rights and fundamental freedom. The UNESCO Recommendation has expanded the framework for pedagogical human rights.</w:t>
      </w:r>
      <w:r w:rsidRPr="00694C5E">
        <w:rPr>
          <w:rFonts w:ascii="Times New Roman" w:eastAsia="Times New Roman" w:hAnsi="Times New Roman" w:cs="Times New Roman"/>
          <w:color w:val="000000" w:themeColor="text1"/>
          <w:sz w:val="24"/>
          <w:szCs w:val="24"/>
          <w:vertAlign w:val="superscript"/>
        </w:rPr>
        <w:footnoteReference w:id="39"/>
      </w:r>
      <w:r w:rsidRPr="00694C5E">
        <w:rPr>
          <w:rFonts w:ascii="Times New Roman" w:eastAsia="Times New Roman" w:hAnsi="Times New Roman" w:cs="Times New Roman"/>
          <w:color w:val="000000" w:themeColor="text1"/>
          <w:sz w:val="24"/>
          <w:szCs w:val="24"/>
        </w:rPr>
        <w:t xml:space="preserve">  For instance, article 5 has stated that this form of human rights education should be, in fact, expanded to </w:t>
      </w:r>
      <w:r w:rsidRPr="00694C5E">
        <w:rPr>
          <w:rFonts w:ascii="Times New Roman" w:eastAsia="Times New Roman" w:hAnsi="Times New Roman" w:cs="Times New Roman"/>
          <w:color w:val="000000" w:themeColor="text1"/>
          <w:sz w:val="24"/>
          <w:szCs w:val="24"/>
        </w:rPr>
        <w:lastRenderedPageBreak/>
        <w:t>include “solidarity with less privileged groups” in order to integrated “conditions which perpetuate major problems affecting human survival and well-being” (Article 18).</w:t>
      </w:r>
      <w:r w:rsidRPr="00694C5E">
        <w:rPr>
          <w:rFonts w:ascii="Times New Roman" w:eastAsia="Times New Roman" w:hAnsi="Times New Roman" w:cs="Times New Roman"/>
          <w:color w:val="000000" w:themeColor="text1"/>
          <w:sz w:val="24"/>
          <w:szCs w:val="24"/>
          <w:vertAlign w:val="superscript"/>
        </w:rPr>
        <w:footnoteReference w:id="40"/>
      </w:r>
      <w:r w:rsidRPr="00694C5E">
        <w:rPr>
          <w:rFonts w:ascii="Times New Roman" w:eastAsia="Times New Roman" w:hAnsi="Times New Roman" w:cs="Times New Roman"/>
          <w:color w:val="000000" w:themeColor="text1"/>
          <w:sz w:val="24"/>
          <w:szCs w:val="24"/>
        </w:rPr>
        <w:t xml:space="preserve"> </w:t>
      </w:r>
    </w:p>
    <w:p w14:paraId="1543CF1A" w14:textId="77777777" w:rsidR="008E1C6B" w:rsidRPr="00694C5E" w:rsidRDefault="008E1C6B" w:rsidP="008E1C6B">
      <w:pPr>
        <w:jc w:val="both"/>
        <w:rPr>
          <w:rFonts w:ascii="Times New Roman" w:eastAsia="Times New Roman" w:hAnsi="Times New Roman" w:cs="Times New Roman"/>
          <w:color w:val="000000" w:themeColor="text1"/>
          <w:sz w:val="24"/>
          <w:szCs w:val="24"/>
        </w:rPr>
      </w:pPr>
    </w:p>
    <w:p w14:paraId="656CCFAA" w14:textId="77777777" w:rsidR="008E1C6B" w:rsidRPr="00694C5E" w:rsidRDefault="008E1C6B" w:rsidP="008E1C6B">
      <w:pPr>
        <w:jc w:val="both"/>
        <w:rPr>
          <w:rFonts w:ascii="Times New Roman" w:eastAsia="Times New Roman" w:hAnsi="Times New Roman" w:cs="Times New Roman"/>
          <w:color w:val="000000" w:themeColor="text1"/>
          <w:sz w:val="24"/>
          <w:szCs w:val="24"/>
        </w:rPr>
      </w:pPr>
      <w:r w:rsidRPr="00694C5E">
        <w:rPr>
          <w:rFonts w:ascii="Times New Roman" w:eastAsia="Times New Roman" w:hAnsi="Times New Roman" w:cs="Times New Roman"/>
          <w:color w:val="000000" w:themeColor="text1"/>
          <w:sz w:val="24"/>
          <w:szCs w:val="24"/>
        </w:rPr>
        <w:t xml:space="preserve">Human Rights Education, </w:t>
      </w:r>
      <w:r>
        <w:rPr>
          <w:rFonts w:ascii="Times New Roman" w:eastAsia="Times New Roman" w:hAnsi="Times New Roman" w:cs="Times New Roman"/>
          <w:color w:val="000000" w:themeColor="text1"/>
          <w:sz w:val="24"/>
          <w:szCs w:val="24"/>
        </w:rPr>
        <w:t>similarly</w:t>
      </w:r>
      <w:r w:rsidRPr="00694C5E">
        <w:rPr>
          <w:rFonts w:ascii="Times New Roman" w:eastAsia="Times New Roman" w:hAnsi="Times New Roman" w:cs="Times New Roman"/>
          <w:color w:val="000000" w:themeColor="text1"/>
          <w:sz w:val="24"/>
          <w:szCs w:val="24"/>
        </w:rPr>
        <w:t xml:space="preserve">, has been situated within the state-centric structure; yet, non-state actors have been playing a more substantial role in recent years. While Ken Booth and Tim Dunne </w:t>
      </w:r>
      <w:r w:rsidRPr="00694C5E">
        <w:rPr>
          <w:rFonts w:ascii="Times New Roman" w:eastAsia="Times New Roman" w:hAnsi="Times New Roman" w:cs="Times New Roman"/>
          <w:color w:val="000000" w:themeColor="text1"/>
          <w:sz w:val="24"/>
          <w:szCs w:val="24"/>
          <w:vertAlign w:val="superscript"/>
        </w:rPr>
        <w:footnoteReference w:id="41"/>
      </w:r>
      <w:r w:rsidRPr="00694C5E">
        <w:rPr>
          <w:rFonts w:ascii="Times New Roman" w:eastAsia="Times New Roman" w:hAnsi="Times New Roman" w:cs="Times New Roman"/>
          <w:color w:val="000000" w:themeColor="text1"/>
          <w:sz w:val="24"/>
          <w:szCs w:val="24"/>
        </w:rPr>
        <w:t xml:space="preserve"> have pointed out that the UN structure has increased the prospects of brining human rights values within education, we are less focused on those systems then we are on sub- and non-state systems.  More specifically, the emerging sector of nongovernmental organizations (NGOs) have impacted and altered the global terrain in regards to political actor and law creator.</w:t>
      </w:r>
      <w:r w:rsidRPr="00694C5E">
        <w:rPr>
          <w:rFonts w:ascii="Times New Roman" w:eastAsia="Times New Roman" w:hAnsi="Times New Roman" w:cs="Times New Roman"/>
          <w:color w:val="000000" w:themeColor="text1"/>
          <w:sz w:val="24"/>
          <w:szCs w:val="24"/>
          <w:vertAlign w:val="superscript"/>
        </w:rPr>
        <w:footnoteReference w:id="42"/>
      </w:r>
      <w:r w:rsidRPr="00694C5E">
        <w:rPr>
          <w:rFonts w:ascii="Times New Roman" w:eastAsia="Times New Roman" w:hAnsi="Times New Roman" w:cs="Times New Roman"/>
          <w:color w:val="000000" w:themeColor="text1"/>
          <w:sz w:val="24"/>
          <w:szCs w:val="24"/>
        </w:rPr>
        <w:t xml:space="preserve"> And the discussion of integrating human right cannot be discussed without paying attention to this growing sector.</w:t>
      </w:r>
      <w:r w:rsidRPr="00694C5E">
        <w:rPr>
          <w:rFonts w:ascii="Times New Roman" w:eastAsia="Times New Roman" w:hAnsi="Times New Roman" w:cs="Times New Roman"/>
          <w:color w:val="000000" w:themeColor="text1"/>
          <w:sz w:val="24"/>
          <w:szCs w:val="24"/>
          <w:vertAlign w:val="superscript"/>
        </w:rPr>
        <w:footnoteReference w:id="43"/>
      </w:r>
      <w:r w:rsidRPr="00694C5E">
        <w:rPr>
          <w:rFonts w:ascii="Times New Roman" w:eastAsia="Times New Roman" w:hAnsi="Times New Roman" w:cs="Times New Roman"/>
          <w:color w:val="000000" w:themeColor="text1"/>
          <w:sz w:val="24"/>
          <w:szCs w:val="24"/>
        </w:rPr>
        <w:t xml:space="preserve"> </w:t>
      </w:r>
    </w:p>
    <w:p w14:paraId="1A67A7F1" w14:textId="77777777" w:rsidR="008E1C6B" w:rsidRPr="00694C5E" w:rsidRDefault="008E1C6B" w:rsidP="008E1C6B">
      <w:pPr>
        <w:jc w:val="both"/>
        <w:rPr>
          <w:rFonts w:ascii="Times New Roman" w:eastAsia="Times New Roman" w:hAnsi="Times New Roman" w:cs="Times New Roman"/>
          <w:color w:val="000000" w:themeColor="text1"/>
          <w:sz w:val="24"/>
          <w:szCs w:val="24"/>
        </w:rPr>
      </w:pPr>
    </w:p>
    <w:p w14:paraId="15A293B5" w14:textId="77777777" w:rsidR="008E1C6B" w:rsidRPr="00694C5E" w:rsidRDefault="008E1C6B" w:rsidP="008E1C6B">
      <w:pPr>
        <w:jc w:val="both"/>
        <w:rPr>
          <w:rFonts w:ascii="Times New Roman" w:eastAsia="Times New Roman" w:hAnsi="Times New Roman" w:cs="Times New Roman"/>
          <w:color w:val="000000" w:themeColor="text1"/>
          <w:sz w:val="24"/>
          <w:szCs w:val="24"/>
        </w:rPr>
      </w:pPr>
      <w:r w:rsidRPr="00694C5E">
        <w:rPr>
          <w:rFonts w:ascii="Times New Roman" w:eastAsia="Times New Roman" w:hAnsi="Times New Roman" w:cs="Times New Roman"/>
          <w:color w:val="000000" w:themeColor="text1"/>
          <w:sz w:val="24"/>
          <w:szCs w:val="24"/>
        </w:rPr>
        <w:t>Indeed, the burgeoning discussions on human rights education have included the implications of NGOs.</w:t>
      </w:r>
      <w:r w:rsidRPr="00694C5E">
        <w:rPr>
          <w:rFonts w:ascii="Times New Roman" w:eastAsia="Times New Roman" w:hAnsi="Times New Roman" w:cs="Times New Roman"/>
          <w:color w:val="000000" w:themeColor="text1"/>
          <w:sz w:val="24"/>
          <w:szCs w:val="24"/>
          <w:vertAlign w:val="superscript"/>
        </w:rPr>
        <w:t xml:space="preserve"> </w:t>
      </w:r>
      <w:r w:rsidRPr="00694C5E">
        <w:rPr>
          <w:rFonts w:ascii="Times New Roman" w:eastAsia="Times New Roman" w:hAnsi="Times New Roman" w:cs="Times New Roman"/>
          <w:color w:val="000000" w:themeColor="text1"/>
          <w:sz w:val="24"/>
          <w:szCs w:val="24"/>
          <w:vertAlign w:val="superscript"/>
        </w:rPr>
        <w:footnoteReference w:id="44"/>
      </w:r>
      <w:r w:rsidRPr="00694C5E">
        <w:rPr>
          <w:rFonts w:ascii="Times New Roman" w:eastAsia="Times New Roman" w:hAnsi="Times New Roman" w:cs="Times New Roman"/>
          <w:color w:val="000000" w:themeColor="text1"/>
          <w:sz w:val="24"/>
          <w:szCs w:val="24"/>
        </w:rPr>
        <w:t xml:space="preserve"> NGOs have been an active partner in widening the scope of human rights education, and, in fact, integrating a bottom ups approach,</w:t>
      </w:r>
      <w:r w:rsidRPr="00694C5E">
        <w:rPr>
          <w:rFonts w:ascii="Times New Roman" w:eastAsia="Times New Roman" w:hAnsi="Times New Roman" w:cs="Times New Roman"/>
          <w:color w:val="000000" w:themeColor="text1"/>
          <w:sz w:val="24"/>
          <w:szCs w:val="24"/>
          <w:vertAlign w:val="superscript"/>
        </w:rPr>
        <w:footnoteReference w:id="45"/>
      </w:r>
      <w:r w:rsidRPr="00694C5E">
        <w:rPr>
          <w:rFonts w:ascii="Times New Roman" w:eastAsia="Times New Roman" w:hAnsi="Times New Roman" w:cs="Times New Roman"/>
          <w:color w:val="000000" w:themeColor="text1"/>
          <w:sz w:val="24"/>
          <w:szCs w:val="24"/>
        </w:rPr>
        <w:t xml:space="preserve"> or what we call a vertical approach. While “nearly all formal literature associated with HRE [Human Rights Education] will mention the importance of using participatory methods,” as </w:t>
      </w:r>
      <w:proofErr w:type="spellStart"/>
      <w:r w:rsidRPr="00694C5E">
        <w:rPr>
          <w:rFonts w:ascii="Times New Roman" w:eastAsia="Times New Roman" w:hAnsi="Times New Roman" w:cs="Times New Roman"/>
          <w:color w:val="000000" w:themeColor="text1"/>
          <w:sz w:val="24"/>
          <w:szCs w:val="24"/>
        </w:rPr>
        <w:t>Felisa</w:t>
      </w:r>
      <w:proofErr w:type="spellEnd"/>
      <w:r w:rsidRPr="00694C5E">
        <w:rPr>
          <w:rFonts w:ascii="Times New Roman" w:eastAsia="Times New Roman" w:hAnsi="Times New Roman" w:cs="Times New Roman"/>
          <w:color w:val="000000" w:themeColor="text1"/>
          <w:sz w:val="24"/>
          <w:szCs w:val="24"/>
        </w:rPr>
        <w:t xml:space="preserve"> </w:t>
      </w:r>
      <w:proofErr w:type="spellStart"/>
      <w:r w:rsidRPr="00694C5E">
        <w:rPr>
          <w:rFonts w:ascii="Times New Roman" w:eastAsia="Times New Roman" w:hAnsi="Times New Roman" w:cs="Times New Roman"/>
          <w:color w:val="000000" w:themeColor="text1"/>
          <w:sz w:val="24"/>
          <w:szCs w:val="24"/>
        </w:rPr>
        <w:t>Tibbitts</w:t>
      </w:r>
      <w:proofErr w:type="spellEnd"/>
      <w:r w:rsidRPr="00694C5E">
        <w:rPr>
          <w:rFonts w:ascii="Times New Roman" w:eastAsia="Times New Roman" w:hAnsi="Times New Roman" w:cs="Times New Roman"/>
          <w:color w:val="000000" w:themeColor="text1"/>
          <w:sz w:val="24"/>
          <w:szCs w:val="24"/>
        </w:rPr>
        <w:t xml:space="preserve"> notes,</w:t>
      </w:r>
      <w:r w:rsidRPr="00694C5E">
        <w:rPr>
          <w:rFonts w:ascii="Times New Roman" w:eastAsia="Times New Roman" w:hAnsi="Times New Roman" w:cs="Times New Roman"/>
          <w:color w:val="000000" w:themeColor="text1"/>
          <w:sz w:val="24"/>
          <w:szCs w:val="24"/>
          <w:vertAlign w:val="superscript"/>
        </w:rPr>
        <w:footnoteReference w:id="46"/>
      </w:r>
      <w:r w:rsidRPr="00694C5E">
        <w:rPr>
          <w:rFonts w:ascii="Times New Roman" w:eastAsia="Times New Roman" w:hAnsi="Times New Roman" w:cs="Times New Roman"/>
          <w:color w:val="000000" w:themeColor="text1"/>
          <w:sz w:val="24"/>
          <w:szCs w:val="24"/>
        </w:rPr>
        <w:t xml:space="preserve"> we take this further and suggest that the organizational foundations should be founded on a vertical framework. We also argue that this view is associated with the idealities discussed by Amnesty International: “Human rights education is a deliberate, participatory practice aimed at empowering individuals, groups, and communities through fostering knowledge, skills, and attitudes consistent with internationally recognized principles.”</w:t>
      </w:r>
      <w:r w:rsidRPr="00694C5E">
        <w:rPr>
          <w:rFonts w:ascii="Times New Roman" w:eastAsia="Times New Roman" w:hAnsi="Times New Roman" w:cs="Times New Roman"/>
          <w:color w:val="000000" w:themeColor="text1"/>
          <w:sz w:val="24"/>
          <w:szCs w:val="24"/>
          <w:vertAlign w:val="superscript"/>
        </w:rPr>
        <w:footnoteReference w:id="47"/>
      </w:r>
      <w:r w:rsidRPr="00694C5E">
        <w:rPr>
          <w:rFonts w:ascii="Times New Roman" w:eastAsia="Times New Roman" w:hAnsi="Times New Roman" w:cs="Times New Roman"/>
          <w:color w:val="000000" w:themeColor="text1"/>
          <w:sz w:val="24"/>
          <w:szCs w:val="24"/>
        </w:rPr>
        <w:t xml:space="preserve"> As </w:t>
      </w:r>
      <w:proofErr w:type="spellStart"/>
      <w:r w:rsidRPr="00694C5E">
        <w:rPr>
          <w:rFonts w:ascii="Times New Roman" w:eastAsia="Times New Roman" w:hAnsi="Times New Roman" w:cs="Times New Roman"/>
          <w:color w:val="000000" w:themeColor="text1"/>
          <w:sz w:val="24"/>
          <w:szCs w:val="24"/>
        </w:rPr>
        <w:t>Tibbitts</w:t>
      </w:r>
      <w:proofErr w:type="spellEnd"/>
      <w:r w:rsidRPr="00694C5E">
        <w:rPr>
          <w:rFonts w:ascii="Times New Roman" w:eastAsia="Times New Roman" w:hAnsi="Times New Roman" w:cs="Times New Roman"/>
          <w:color w:val="000000" w:themeColor="text1"/>
          <w:sz w:val="24"/>
          <w:szCs w:val="24"/>
        </w:rPr>
        <w:t xml:space="preserve"> has </w:t>
      </w:r>
      <w:r w:rsidRPr="00694C5E">
        <w:rPr>
          <w:rFonts w:ascii="Times New Roman" w:eastAsiaTheme="minorEastAsia" w:hAnsi="Times New Roman" w:cs="Times New Roman"/>
          <w:color w:val="000000" w:themeColor="text1"/>
          <w:sz w:val="24"/>
          <w:szCs w:val="24"/>
          <w:lang w:eastAsia="zh-CN"/>
        </w:rPr>
        <w:t>suggested</w:t>
      </w:r>
      <w:r w:rsidRPr="00694C5E">
        <w:rPr>
          <w:rFonts w:ascii="Times New Roman" w:eastAsia="Times New Roman" w:hAnsi="Times New Roman" w:cs="Times New Roman"/>
          <w:color w:val="000000" w:themeColor="text1"/>
          <w:sz w:val="24"/>
          <w:szCs w:val="24"/>
        </w:rPr>
        <w:t>:</w:t>
      </w:r>
    </w:p>
    <w:p w14:paraId="1909415A" w14:textId="77777777" w:rsidR="008E1C6B" w:rsidRPr="00694C5E" w:rsidRDefault="008E1C6B" w:rsidP="008E1C6B">
      <w:pPr>
        <w:ind w:left="720" w:right="720"/>
        <w:jc w:val="both"/>
        <w:rPr>
          <w:rFonts w:ascii="Times New Roman" w:eastAsia="Times New Roman" w:hAnsi="Times New Roman" w:cs="Times New Roman"/>
          <w:color w:val="000000" w:themeColor="text1"/>
          <w:sz w:val="24"/>
          <w:szCs w:val="24"/>
        </w:rPr>
      </w:pPr>
    </w:p>
    <w:p w14:paraId="131CCED3" w14:textId="77777777" w:rsidR="008E1C6B" w:rsidRPr="00694C5E" w:rsidRDefault="008E1C6B" w:rsidP="008E1C6B">
      <w:pPr>
        <w:ind w:left="720" w:right="720"/>
        <w:jc w:val="both"/>
        <w:rPr>
          <w:rFonts w:ascii="Times New Roman" w:eastAsia="Times New Roman" w:hAnsi="Times New Roman" w:cs="Times New Roman"/>
          <w:color w:val="000000" w:themeColor="text1"/>
          <w:sz w:val="24"/>
          <w:szCs w:val="24"/>
        </w:rPr>
      </w:pPr>
      <w:r w:rsidRPr="00694C5E">
        <w:rPr>
          <w:rFonts w:ascii="Times New Roman" w:eastAsia="Times New Roman" w:hAnsi="Times New Roman" w:cs="Times New Roman"/>
          <w:color w:val="000000" w:themeColor="text1"/>
          <w:sz w:val="24"/>
          <w:szCs w:val="24"/>
        </w:rPr>
        <w:t xml:space="preserve">Human Rights Education “can no longer be characterized as a singularly understood practice. Furthermore, the varied ideological content of these programs appears to reflect where such programs locate themselves in relation to local, national, and international sites of power—not geography or nationhood </w:t>
      </w:r>
      <w:r w:rsidRPr="00694C5E">
        <w:rPr>
          <w:rFonts w:ascii="Times New Roman" w:eastAsia="Times New Roman" w:hAnsi="Times New Roman" w:cs="Times New Roman"/>
          <w:color w:val="000000" w:themeColor="text1"/>
          <w:sz w:val="24"/>
          <w:szCs w:val="24"/>
        </w:rPr>
        <w:lastRenderedPageBreak/>
        <w:t>understood in any simple, homogenous sense. An elite private school and a school serving a marginalized indigenous community in the same neighborhood may both offer human rights education, but their approaches may vary widely based on the material realities of each group, the manner in which HRE is introduced, and the anticipated outcome.”</w:t>
      </w:r>
      <w:r w:rsidRPr="00694C5E">
        <w:rPr>
          <w:rFonts w:ascii="Times New Roman" w:eastAsia="Times New Roman" w:hAnsi="Times New Roman" w:cs="Times New Roman"/>
          <w:color w:val="000000" w:themeColor="text1"/>
          <w:sz w:val="24"/>
          <w:szCs w:val="24"/>
          <w:vertAlign w:val="superscript"/>
        </w:rPr>
        <w:footnoteReference w:id="48"/>
      </w:r>
      <w:r w:rsidRPr="00694C5E">
        <w:rPr>
          <w:rFonts w:ascii="Times New Roman" w:eastAsia="Times New Roman" w:hAnsi="Times New Roman" w:cs="Times New Roman"/>
          <w:color w:val="000000" w:themeColor="text1"/>
          <w:sz w:val="24"/>
          <w:szCs w:val="24"/>
        </w:rPr>
        <w:t xml:space="preserve"> </w:t>
      </w:r>
    </w:p>
    <w:p w14:paraId="53371FCF" w14:textId="77777777" w:rsidR="008E1C6B" w:rsidRPr="00694C5E" w:rsidRDefault="008E1C6B" w:rsidP="008E1C6B">
      <w:pPr>
        <w:ind w:left="720" w:right="720"/>
        <w:jc w:val="both"/>
        <w:rPr>
          <w:rFonts w:ascii="Times New Roman" w:eastAsia="Times New Roman" w:hAnsi="Times New Roman" w:cs="Times New Roman"/>
          <w:color w:val="000000" w:themeColor="text1"/>
          <w:sz w:val="24"/>
          <w:szCs w:val="24"/>
        </w:rPr>
      </w:pPr>
    </w:p>
    <w:p w14:paraId="04CC3A05" w14:textId="77777777" w:rsidR="008E1C6B" w:rsidRPr="00694C5E" w:rsidRDefault="008E1C6B" w:rsidP="008E1C6B">
      <w:pPr>
        <w:jc w:val="both"/>
        <w:rPr>
          <w:rFonts w:ascii="Times New Roman" w:eastAsia="Times New Roman" w:hAnsi="Times New Roman" w:cs="Times New Roman"/>
          <w:color w:val="000000" w:themeColor="text1"/>
          <w:sz w:val="24"/>
          <w:szCs w:val="24"/>
        </w:rPr>
      </w:pPr>
      <w:r w:rsidRPr="00694C5E">
        <w:rPr>
          <w:rFonts w:ascii="Times New Roman" w:eastAsia="Times New Roman" w:hAnsi="Times New Roman" w:cs="Times New Roman"/>
          <w:color w:val="000000" w:themeColor="text1"/>
          <w:sz w:val="24"/>
          <w:szCs w:val="24"/>
        </w:rPr>
        <w:t>And indeed, this suggests that one should incorporate a holistic approach to integrating human rights education in any dimension, especially when considering heterogeneity in cultures and norms.</w:t>
      </w:r>
      <w:r w:rsidR="00B47312">
        <w:rPr>
          <w:rFonts w:ascii="Times New Roman" w:eastAsia="Times New Roman" w:hAnsi="Times New Roman" w:cs="Times New Roman"/>
          <w:color w:val="000000" w:themeColor="text1"/>
          <w:sz w:val="24"/>
          <w:szCs w:val="24"/>
        </w:rPr>
        <w:t xml:space="preserve"> Notwithstanding these rising calls for an updated global civic education framework, substantive notions of a participatory global citizenship remain elusive. </w:t>
      </w:r>
    </w:p>
    <w:p w14:paraId="29DA81EC" w14:textId="77777777" w:rsidR="008E1C6B" w:rsidRDefault="008E1C6B" w:rsidP="00122D3A">
      <w:pPr>
        <w:jc w:val="both"/>
        <w:rPr>
          <w:rFonts w:ascii="Times New Roman" w:eastAsia="Times New Roman" w:hAnsi="Times New Roman" w:cs="Times New Roman"/>
          <w:color w:val="000000" w:themeColor="text1"/>
          <w:sz w:val="24"/>
          <w:szCs w:val="24"/>
          <w:shd w:val="clear" w:color="auto" w:fill="FFFFFF"/>
        </w:rPr>
      </w:pPr>
    </w:p>
    <w:p w14:paraId="3EB705BD" w14:textId="77777777" w:rsidR="00122D3A" w:rsidRPr="00694C5E" w:rsidRDefault="00B47312" w:rsidP="00122D3A">
      <w:pPr>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shd w:val="clear" w:color="auto" w:fill="FFFFFF"/>
        </w:rPr>
        <w:t xml:space="preserve">Therefore, it is imperative to locate </w:t>
      </w:r>
      <w:r w:rsidR="005356E6">
        <w:rPr>
          <w:rFonts w:ascii="Times New Roman" w:eastAsia="Times New Roman" w:hAnsi="Times New Roman" w:cs="Times New Roman"/>
          <w:color w:val="000000" w:themeColor="text1"/>
          <w:sz w:val="24"/>
          <w:szCs w:val="24"/>
          <w:shd w:val="clear" w:color="auto" w:fill="FFFFFF"/>
        </w:rPr>
        <w:t xml:space="preserve">instances of global civic actions that can be seen as crucial antecedents to the possibility of participatory global citizenship. </w:t>
      </w:r>
      <w:r w:rsidR="00122D3A" w:rsidRPr="00694C5E">
        <w:rPr>
          <w:rFonts w:ascii="Times New Roman" w:eastAsia="Times New Roman" w:hAnsi="Times New Roman" w:cs="Times New Roman"/>
          <w:color w:val="000000" w:themeColor="text1"/>
          <w:sz w:val="24"/>
          <w:szCs w:val="24"/>
          <w:shd w:val="clear" w:color="auto" w:fill="FFFFFF"/>
        </w:rPr>
        <w:t xml:space="preserve">Over the last few decades, independent non-state actors have been playing increasingly important role in </w:t>
      </w:r>
      <w:r w:rsidR="00122D3A" w:rsidRPr="00694C5E">
        <w:rPr>
          <w:rFonts w:ascii="Times New Roman" w:hAnsi="Times New Roman" w:cs="Times New Roman"/>
          <w:color w:val="000000" w:themeColor="text1"/>
          <w:sz w:val="24"/>
          <w:szCs w:val="24"/>
        </w:rPr>
        <w:t xml:space="preserve">framing the substantive components of human rights principles, especially in terms of bridging the recognition gap between human rights (traditionally understood as individual civil-political rights) and social, economic, and cultural rights.  </w:t>
      </w:r>
      <w:r w:rsidR="00122D3A" w:rsidRPr="00694C5E">
        <w:rPr>
          <w:rFonts w:ascii="Times New Roman" w:eastAsia="Times New Roman" w:hAnsi="Times New Roman" w:cs="Times New Roman"/>
          <w:color w:val="000000" w:themeColor="text1"/>
          <w:sz w:val="24"/>
          <w:szCs w:val="24"/>
          <w:shd w:val="clear" w:color="auto" w:fill="FFFFFF"/>
        </w:rPr>
        <w:t xml:space="preserve"> In </w:t>
      </w:r>
      <w:r w:rsidR="00122D3A" w:rsidRPr="00694C5E">
        <w:rPr>
          <w:rFonts w:ascii="Times New Roman" w:hAnsi="Times New Roman" w:cs="Times New Roman"/>
          <w:color w:val="000000" w:themeColor="text1"/>
          <w:sz w:val="24"/>
          <w:szCs w:val="24"/>
        </w:rPr>
        <w:t xml:space="preserve">response to alleged cases of rights violations by MNEs, local communities and global civil society actors have been engaging in organized human rights campaigns that seek to discipline corporate social responsibility through the strategic framing of their messages.  The recent successful indigenous rights campaign by Survival International in </w:t>
      </w:r>
      <w:r w:rsidR="00122D3A" w:rsidRPr="00694C5E">
        <w:rPr>
          <w:rFonts w:ascii="Times New Roman" w:hAnsi="Times New Roman" w:cs="Times New Roman"/>
          <w:sz w:val="24"/>
          <w:szCs w:val="24"/>
        </w:rPr>
        <w:t xml:space="preserve">Southern India, through the </w:t>
      </w:r>
      <w:r w:rsidR="00122D3A" w:rsidRPr="00694C5E">
        <w:rPr>
          <w:rFonts w:ascii="Times New Roman" w:eastAsia="Times New Roman" w:hAnsi="Times New Roman" w:cs="Times New Roman"/>
          <w:sz w:val="24"/>
          <w:szCs w:val="24"/>
          <w:highlight w:val="white"/>
        </w:rPr>
        <w:t>OECD Guidelines for Multinational Enterprises</w:t>
      </w:r>
      <w:r w:rsidR="00122D3A" w:rsidRPr="00694C5E">
        <w:rPr>
          <w:rFonts w:ascii="Times New Roman" w:eastAsia="Times New Roman" w:hAnsi="Times New Roman" w:cs="Times New Roman"/>
          <w:sz w:val="24"/>
          <w:szCs w:val="24"/>
        </w:rPr>
        <w:t>,</w:t>
      </w:r>
      <w:r w:rsidR="00122D3A" w:rsidRPr="00694C5E">
        <w:rPr>
          <w:rFonts w:ascii="Times New Roman" w:hAnsi="Times New Roman" w:cs="Times New Roman"/>
          <w:sz w:val="24"/>
          <w:szCs w:val="24"/>
        </w:rPr>
        <w:t xml:space="preserve"> serves as an excellent example on ways which IOs and NGOs deploy strategically framed “global civic rhetoric” for mobilizing international support and gaining access to broader political opportunities. </w:t>
      </w:r>
    </w:p>
    <w:p w14:paraId="0E63F6AF" w14:textId="77777777" w:rsidR="00122D3A" w:rsidRPr="00694C5E" w:rsidRDefault="00122D3A" w:rsidP="00CE285D">
      <w:pPr>
        <w:jc w:val="both"/>
        <w:rPr>
          <w:rFonts w:ascii="Times New Roman" w:eastAsia="Times New Roman" w:hAnsi="Times New Roman" w:cs="Times New Roman"/>
          <w:sz w:val="24"/>
          <w:highlight w:val="white"/>
        </w:rPr>
      </w:pPr>
    </w:p>
    <w:p w14:paraId="2BFB54F1" w14:textId="77777777" w:rsidR="00122D3A" w:rsidRPr="00694C5E" w:rsidRDefault="00122D3A" w:rsidP="00CE285D">
      <w:pPr>
        <w:jc w:val="both"/>
        <w:rPr>
          <w:rFonts w:ascii="Times New Roman" w:eastAsia="Times New Roman" w:hAnsi="Times New Roman" w:cs="Times New Roman"/>
          <w:sz w:val="24"/>
          <w:highlight w:val="white"/>
        </w:rPr>
      </w:pPr>
    </w:p>
    <w:p w14:paraId="63F67252" w14:textId="77777777" w:rsidR="00CE285D" w:rsidRPr="00694C5E" w:rsidRDefault="00CE285D" w:rsidP="00B90D5B">
      <w:pPr>
        <w:pStyle w:val="Heading1"/>
        <w:numPr>
          <w:ilvl w:val="0"/>
          <w:numId w:val="1"/>
        </w:numPr>
        <w:rPr>
          <w:rFonts w:ascii="Times New Roman" w:hAnsi="Times New Roman" w:cs="Times New Roman"/>
        </w:rPr>
      </w:pPr>
      <w:r w:rsidRPr="00694C5E">
        <w:rPr>
          <w:rFonts w:ascii="Times New Roman" w:hAnsi="Times New Roman" w:cs="Times New Roman"/>
        </w:rPr>
        <w:t>IOs as Antecedents to Global Citizenship</w:t>
      </w:r>
      <w:r w:rsidR="00122D3A" w:rsidRPr="00694C5E">
        <w:rPr>
          <w:rFonts w:ascii="Times New Roman" w:hAnsi="Times New Roman" w:cs="Times New Roman"/>
        </w:rPr>
        <w:t xml:space="preserve"> – the Case of Vedanta Mining Controversy</w:t>
      </w:r>
    </w:p>
    <w:p w14:paraId="008CACA7" w14:textId="77777777" w:rsidR="00CE285D" w:rsidRPr="00694C5E" w:rsidRDefault="00CE285D" w:rsidP="0044042E">
      <w:pPr>
        <w:spacing w:line="240" w:lineRule="auto"/>
        <w:contextualSpacing/>
        <w:jc w:val="both"/>
        <w:rPr>
          <w:rFonts w:ascii="Times New Roman" w:hAnsi="Times New Roman" w:cs="Times New Roman"/>
          <w:b/>
        </w:rPr>
      </w:pPr>
    </w:p>
    <w:p w14:paraId="2FC8359F" w14:textId="77777777" w:rsidR="00CE285D" w:rsidRPr="00694C5E" w:rsidRDefault="00CE285D" w:rsidP="0044042E">
      <w:pPr>
        <w:spacing w:line="240" w:lineRule="auto"/>
        <w:contextualSpacing/>
        <w:jc w:val="both"/>
        <w:rPr>
          <w:rFonts w:ascii="Times New Roman" w:hAnsi="Times New Roman" w:cs="Times New Roman"/>
          <w:b/>
        </w:rPr>
      </w:pPr>
    </w:p>
    <w:p w14:paraId="2EBDDC05" w14:textId="77777777" w:rsidR="00B90D5B" w:rsidRPr="00453546" w:rsidRDefault="00B90D5B" w:rsidP="00B90D5B">
      <w:pPr>
        <w:jc w:val="both"/>
        <w:rPr>
          <w:rFonts w:ascii="Times New Roman" w:hAnsi="Times New Roman" w:cs="Times New Roman"/>
          <w:color w:val="222222"/>
          <w:sz w:val="24"/>
          <w:szCs w:val="24"/>
          <w:shd w:val="clear" w:color="auto" w:fill="FFFFFF"/>
        </w:rPr>
      </w:pPr>
      <w:r w:rsidRPr="00453546">
        <w:rPr>
          <w:rFonts w:ascii="Times New Roman" w:hAnsi="Times New Roman" w:cs="Times New Roman"/>
          <w:color w:val="222222"/>
          <w:sz w:val="24"/>
          <w:szCs w:val="24"/>
          <w:shd w:val="clear" w:color="auto" w:fill="FFFFFF"/>
        </w:rPr>
        <w:t xml:space="preserve">Regulatory power has traditionally been reserved as a state-based disciplinary tool. Yet, contemporary globalization has altered the privileging of the state-based system, allowing the mechanics of regulatory power to seep toward non-state actors, and in this case, international organizations (IOs). IOs are now in an extraordinary position to project transnational governing systems, based on the harmonization of norm-based structures. Through a complex system of metric regimes and discourse producing bodies, IOs are now becoming substantial players in guiding the discursive parameters of human rights principles globally. </w:t>
      </w:r>
    </w:p>
    <w:p w14:paraId="44AE8731" w14:textId="77777777" w:rsidR="00122D3A" w:rsidRPr="00453546" w:rsidRDefault="00122D3A" w:rsidP="00122D3A">
      <w:pPr>
        <w:jc w:val="both"/>
        <w:rPr>
          <w:rFonts w:ascii="Times New Roman" w:eastAsia="Times New Roman" w:hAnsi="Times New Roman" w:cs="Times New Roman"/>
          <w:sz w:val="24"/>
          <w:szCs w:val="24"/>
          <w:highlight w:val="white"/>
        </w:rPr>
      </w:pPr>
    </w:p>
    <w:p w14:paraId="76853D0D" w14:textId="77777777" w:rsidR="00122D3A" w:rsidRPr="00453546" w:rsidRDefault="00122D3A" w:rsidP="00122D3A">
      <w:pPr>
        <w:jc w:val="both"/>
        <w:rPr>
          <w:rFonts w:ascii="Times New Roman" w:hAnsi="Times New Roman" w:cs="Times New Roman"/>
          <w:sz w:val="24"/>
          <w:szCs w:val="24"/>
        </w:rPr>
      </w:pPr>
      <w:r w:rsidRPr="00453546">
        <w:rPr>
          <w:rFonts w:ascii="Times New Roman" w:eastAsia="Times New Roman" w:hAnsi="Times New Roman" w:cs="Times New Roman"/>
          <w:sz w:val="24"/>
          <w:szCs w:val="24"/>
          <w:highlight w:val="white"/>
        </w:rPr>
        <w:lastRenderedPageBreak/>
        <w:t>In recent years, substantial efforts have been made to bridge the systematic gap between the state-centric legal system and those emerging human rights rule framework of non-state actors operating in transnational socio-political and cultural space. Among the most significant recent development is the articulation of a series of “Guiding Principles for Multinational Enterprises” by the Organization for Economic Cooperation and Development (OECD).</w:t>
      </w:r>
      <w:r w:rsidRPr="00453546">
        <w:rPr>
          <w:rStyle w:val="FootnoteReference"/>
          <w:rFonts w:ascii="Times New Roman" w:eastAsia="Times New Roman" w:hAnsi="Times New Roman" w:cs="Times New Roman"/>
          <w:sz w:val="24"/>
          <w:szCs w:val="24"/>
          <w:highlight w:val="white"/>
        </w:rPr>
        <w:footnoteReference w:id="49"/>
      </w:r>
      <w:r w:rsidRPr="00453546">
        <w:rPr>
          <w:rFonts w:ascii="Times New Roman" w:eastAsia="Times New Roman" w:hAnsi="Times New Roman" w:cs="Times New Roman"/>
          <w:sz w:val="24"/>
          <w:szCs w:val="24"/>
          <w:highlight w:val="white"/>
        </w:rPr>
        <w:t xml:space="preserve">  The first version of the OECD Guidelines for Multinational Enterprises (The Guidelines) was introduced in June 21</w:t>
      </w:r>
      <w:r w:rsidRPr="00453546">
        <w:rPr>
          <w:rFonts w:ascii="Times New Roman" w:eastAsia="Times New Roman" w:hAnsi="Times New Roman" w:cs="Times New Roman"/>
          <w:sz w:val="24"/>
          <w:szCs w:val="24"/>
          <w:highlight w:val="white"/>
          <w:vertAlign w:val="superscript"/>
        </w:rPr>
        <w:t>st</w:t>
      </w:r>
      <w:r w:rsidRPr="00453546">
        <w:rPr>
          <w:rFonts w:ascii="Times New Roman" w:eastAsia="Times New Roman" w:hAnsi="Times New Roman" w:cs="Times New Roman"/>
          <w:sz w:val="24"/>
          <w:szCs w:val="24"/>
          <w:highlight w:val="white"/>
        </w:rPr>
        <w:t xml:space="preserve"> 1976 during the Meeting of the OECD Council. The Guidelines was adopted by the OECD member states as one of four instruments of the 1976 OECD Declaration on International Investment and Multinational Enterprises, a policy commitment “by adhering governments to provide an open and transparent environment for international investment”, and to encourage multinational corporations to make positive contributions to economic and social progress.</w:t>
      </w:r>
      <w:r w:rsidRPr="00453546">
        <w:rPr>
          <w:rStyle w:val="FootnoteReference"/>
          <w:rFonts w:ascii="Times New Roman" w:eastAsia="Times New Roman" w:hAnsi="Times New Roman" w:cs="Times New Roman"/>
          <w:sz w:val="24"/>
          <w:szCs w:val="24"/>
          <w:highlight w:val="white"/>
        </w:rPr>
        <w:footnoteReference w:id="50"/>
      </w:r>
      <w:r w:rsidRPr="00453546">
        <w:rPr>
          <w:rFonts w:ascii="Times New Roman" w:eastAsia="Times New Roman" w:hAnsi="Times New Roman" w:cs="Times New Roman"/>
          <w:sz w:val="24"/>
          <w:szCs w:val="24"/>
          <w:highlight w:val="white"/>
        </w:rPr>
        <w:t xml:space="preserve"> From 1976 to 2011, The Guidelines have been updated five times in order to ensure that they “remain at the forefront of the global responsible business conduct agenda and a leading tool in the ever-changing landscape of the global economy.”</w:t>
      </w:r>
      <w:r w:rsidRPr="00453546">
        <w:rPr>
          <w:rStyle w:val="FootnoteReference"/>
          <w:rFonts w:ascii="Times New Roman" w:eastAsia="Times New Roman" w:hAnsi="Times New Roman" w:cs="Times New Roman"/>
          <w:sz w:val="24"/>
          <w:szCs w:val="24"/>
          <w:highlight w:val="white"/>
        </w:rPr>
        <w:footnoteReference w:id="51"/>
      </w:r>
      <w:r w:rsidRPr="00453546">
        <w:rPr>
          <w:rFonts w:ascii="Times New Roman" w:eastAsia="Times New Roman" w:hAnsi="Times New Roman" w:cs="Times New Roman"/>
          <w:sz w:val="24"/>
          <w:szCs w:val="24"/>
          <w:highlight w:val="white"/>
        </w:rPr>
        <w:t xml:space="preserve">    </w:t>
      </w:r>
    </w:p>
    <w:p w14:paraId="70840093" w14:textId="77777777" w:rsidR="00122D3A" w:rsidRPr="00453546" w:rsidRDefault="00122D3A" w:rsidP="00122D3A">
      <w:pPr>
        <w:ind w:firstLine="720"/>
        <w:jc w:val="both"/>
        <w:rPr>
          <w:rFonts w:ascii="Times New Roman" w:hAnsi="Times New Roman" w:cs="Times New Roman"/>
          <w:sz w:val="24"/>
          <w:szCs w:val="24"/>
        </w:rPr>
      </w:pPr>
      <w:r w:rsidRPr="00453546">
        <w:rPr>
          <w:rFonts w:ascii="Times New Roman" w:eastAsia="Times New Roman" w:hAnsi="Times New Roman" w:cs="Times New Roman"/>
          <w:sz w:val="24"/>
          <w:szCs w:val="24"/>
          <w:highlight w:val="white"/>
        </w:rPr>
        <w:t xml:space="preserve"> </w:t>
      </w:r>
    </w:p>
    <w:p w14:paraId="1316F420" w14:textId="77777777" w:rsidR="00122D3A" w:rsidRPr="00453546" w:rsidRDefault="00122D3A" w:rsidP="00122D3A">
      <w:pPr>
        <w:jc w:val="both"/>
        <w:rPr>
          <w:rFonts w:ascii="Times New Roman" w:hAnsi="Times New Roman" w:cs="Times New Roman"/>
          <w:sz w:val="24"/>
          <w:szCs w:val="24"/>
        </w:rPr>
      </w:pPr>
      <w:r w:rsidRPr="00453546">
        <w:rPr>
          <w:rFonts w:ascii="Times New Roman" w:eastAsia="Times New Roman" w:hAnsi="Times New Roman" w:cs="Times New Roman"/>
          <w:sz w:val="24"/>
          <w:szCs w:val="24"/>
          <w:highlight w:val="white"/>
        </w:rPr>
        <w:t>The Guidelines represents one of several supranational efforts to create soft law frameworks for developing a customary consensus and culture of appropriate corporate behavior. One of its unique features is its enforcement procedures, which provides the possibility for the creation of quasi-judicial organs whose purpose is to enforce The Guidelines to the actions of multinational corporations. These panels, known as OECD National Contact Points (NCPs), are constituted whenever there is a complaint lodged. These complaints may be lodged by civil society actors, including non-governmental organizations (NGOs).</w:t>
      </w:r>
      <w:r w:rsidRPr="00453546">
        <w:rPr>
          <w:rStyle w:val="FootnoteReference"/>
          <w:rFonts w:ascii="Times New Roman" w:eastAsia="Times New Roman" w:hAnsi="Times New Roman" w:cs="Times New Roman"/>
          <w:sz w:val="24"/>
          <w:szCs w:val="24"/>
          <w:highlight w:val="white"/>
        </w:rPr>
        <w:footnoteReference w:id="52"/>
      </w:r>
    </w:p>
    <w:p w14:paraId="72A038AD" w14:textId="77777777" w:rsidR="00122D3A" w:rsidRPr="00453546" w:rsidRDefault="00122D3A" w:rsidP="00B90D5B">
      <w:pPr>
        <w:jc w:val="both"/>
        <w:rPr>
          <w:rFonts w:ascii="Times New Roman" w:hAnsi="Times New Roman" w:cs="Times New Roman"/>
          <w:color w:val="222222"/>
          <w:sz w:val="24"/>
          <w:szCs w:val="24"/>
          <w:shd w:val="clear" w:color="auto" w:fill="FFFFFF"/>
        </w:rPr>
      </w:pPr>
    </w:p>
    <w:p w14:paraId="07AB48E0" w14:textId="77777777" w:rsidR="00122D3A" w:rsidRPr="00453546" w:rsidRDefault="00122D3A" w:rsidP="00D16522">
      <w:pPr>
        <w:pStyle w:val="Quote"/>
        <w:jc w:val="both"/>
        <w:rPr>
          <w:rFonts w:cs="Times New Roman"/>
          <w:i w:val="0"/>
          <w:szCs w:val="24"/>
        </w:rPr>
      </w:pPr>
      <w:r w:rsidRPr="00453546">
        <w:rPr>
          <w:rFonts w:cs="Times New Roman"/>
          <w:i w:val="0"/>
          <w:szCs w:val="24"/>
        </w:rPr>
        <w:t xml:space="preserve">To better demonstrate role IOs and civil society actors play in the emergent collective efforts to advance human rights norms and enforce corporate social responsibilities within the context of the global civil society, </w:t>
      </w:r>
      <w:r w:rsidR="00D16522" w:rsidRPr="00453546">
        <w:rPr>
          <w:rFonts w:cs="Times New Roman"/>
          <w:i w:val="0"/>
          <w:szCs w:val="24"/>
        </w:rPr>
        <w:t xml:space="preserve">let us turn toward the recent case of the human rights campaign waged </w:t>
      </w:r>
      <w:r w:rsidR="00D16522" w:rsidRPr="00453546">
        <w:rPr>
          <w:rFonts w:cs="Times New Roman"/>
          <w:i w:val="0"/>
          <w:szCs w:val="24"/>
        </w:rPr>
        <w:lastRenderedPageBreak/>
        <w:t>by a British NGO Survival International against the alleged rights violations of a multinational mining corporation:</w:t>
      </w:r>
    </w:p>
    <w:p w14:paraId="51176EF3" w14:textId="77777777" w:rsidR="00122D3A" w:rsidRPr="00453546" w:rsidRDefault="00122D3A" w:rsidP="00122D3A">
      <w:pPr>
        <w:pStyle w:val="Quote"/>
        <w:ind w:left="720" w:right="720"/>
        <w:jc w:val="both"/>
        <w:rPr>
          <w:rFonts w:cs="Times New Roman"/>
          <w:i w:val="0"/>
          <w:szCs w:val="24"/>
        </w:rPr>
      </w:pPr>
      <w:r w:rsidRPr="00453546">
        <w:rPr>
          <w:rFonts w:cs="Times New Roman"/>
          <w:szCs w:val="24"/>
        </w:rPr>
        <w:t xml:space="preserve">“A primitive Indian tribe which worships its remote jungle mountain as a living god has inflicted a humiliating defeat on one of Britain's wealthiest billionaires over his plans to open a vast </w:t>
      </w:r>
      <w:proofErr w:type="spellStart"/>
      <w:r w:rsidRPr="00453546">
        <w:rPr>
          <w:rFonts w:cs="Times New Roman"/>
          <w:szCs w:val="24"/>
        </w:rPr>
        <w:t>aluminium</w:t>
      </w:r>
      <w:proofErr w:type="spellEnd"/>
      <w:r w:rsidRPr="00453546">
        <w:rPr>
          <w:rFonts w:cs="Times New Roman"/>
          <w:szCs w:val="24"/>
        </w:rPr>
        <w:t xml:space="preserve"> ore mine on their land.”</w:t>
      </w:r>
      <w:r w:rsidRPr="00453546">
        <w:rPr>
          <w:rStyle w:val="FootnoteReference"/>
          <w:rFonts w:cs="Times New Roman"/>
          <w:i w:val="0"/>
          <w:szCs w:val="24"/>
        </w:rPr>
        <w:footnoteReference w:id="53"/>
      </w:r>
    </w:p>
    <w:p w14:paraId="0B083540" w14:textId="77777777" w:rsidR="00122D3A" w:rsidRPr="00453546" w:rsidRDefault="00122D3A" w:rsidP="00122D3A">
      <w:pPr>
        <w:jc w:val="both"/>
        <w:rPr>
          <w:rFonts w:ascii="Times New Roman" w:hAnsi="Times New Roman" w:cs="Times New Roman"/>
          <w:sz w:val="24"/>
          <w:szCs w:val="24"/>
        </w:rPr>
      </w:pPr>
      <w:r w:rsidRPr="00453546">
        <w:rPr>
          <w:rFonts w:ascii="Times New Roman" w:hAnsi="Times New Roman" w:cs="Times New Roman"/>
          <w:sz w:val="24"/>
          <w:szCs w:val="24"/>
        </w:rPr>
        <w:t xml:space="preserve">The above excerpt, taken from the headline of a </w:t>
      </w:r>
      <w:r w:rsidRPr="00453546">
        <w:rPr>
          <w:rFonts w:ascii="Times New Roman" w:hAnsi="Times New Roman" w:cs="Times New Roman"/>
          <w:i/>
          <w:sz w:val="24"/>
          <w:szCs w:val="24"/>
        </w:rPr>
        <w:t xml:space="preserve">Telegraph </w:t>
      </w:r>
      <w:r w:rsidRPr="00453546">
        <w:rPr>
          <w:rFonts w:ascii="Times New Roman" w:hAnsi="Times New Roman" w:cs="Times New Roman"/>
          <w:sz w:val="24"/>
          <w:szCs w:val="24"/>
        </w:rPr>
        <w:t>front-page news article on August 9</w:t>
      </w:r>
      <w:r w:rsidRPr="00453546">
        <w:rPr>
          <w:rFonts w:ascii="Times New Roman" w:hAnsi="Times New Roman" w:cs="Times New Roman"/>
          <w:sz w:val="24"/>
          <w:szCs w:val="24"/>
          <w:vertAlign w:val="superscript"/>
        </w:rPr>
        <w:t>th</w:t>
      </w:r>
      <w:r w:rsidRPr="00453546">
        <w:rPr>
          <w:rFonts w:ascii="Times New Roman" w:hAnsi="Times New Roman" w:cs="Times New Roman"/>
          <w:sz w:val="24"/>
          <w:szCs w:val="24"/>
        </w:rPr>
        <w:t xml:space="preserve">, 2013 recapitulated the improbable victory of a small indigenous tribe over a multinational mining conglomerate. The battle of the </w:t>
      </w:r>
      <w:proofErr w:type="spellStart"/>
      <w:r w:rsidRPr="00453546">
        <w:rPr>
          <w:rFonts w:ascii="Times New Roman" w:hAnsi="Times New Roman" w:cs="Times New Roman"/>
          <w:sz w:val="24"/>
          <w:szCs w:val="24"/>
        </w:rPr>
        <w:t>Dongria</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Kondh</w:t>
      </w:r>
      <w:proofErr w:type="spellEnd"/>
      <w:r w:rsidRPr="00453546">
        <w:rPr>
          <w:rFonts w:ascii="Times New Roman" w:hAnsi="Times New Roman" w:cs="Times New Roman"/>
          <w:sz w:val="24"/>
          <w:szCs w:val="24"/>
        </w:rPr>
        <w:t xml:space="preserve"> people was the kind of fight that has been dubbed as “the real-life Avatar” by the western media,</w:t>
      </w:r>
      <w:r w:rsidRPr="00453546">
        <w:rPr>
          <w:rStyle w:val="FootnoteReference"/>
          <w:rFonts w:ascii="Times New Roman" w:hAnsi="Times New Roman" w:cs="Times New Roman"/>
          <w:sz w:val="24"/>
          <w:szCs w:val="24"/>
        </w:rPr>
        <w:footnoteReference w:id="54"/>
      </w:r>
      <w:r w:rsidRPr="00453546">
        <w:rPr>
          <w:rFonts w:ascii="Times New Roman" w:hAnsi="Times New Roman" w:cs="Times New Roman"/>
          <w:sz w:val="24"/>
          <w:szCs w:val="24"/>
        </w:rPr>
        <w:t xml:space="preserve"> where a few thousand forest-dwelling indigenous people in Eastern India have united in their fight against the planned mining operations of a global mineral giant in their ancestral lands.</w:t>
      </w:r>
      <w:r w:rsidRPr="00453546">
        <w:rPr>
          <w:rStyle w:val="FootnoteReference"/>
          <w:rFonts w:ascii="Times New Roman" w:hAnsi="Times New Roman" w:cs="Times New Roman"/>
          <w:sz w:val="24"/>
          <w:szCs w:val="24"/>
        </w:rPr>
        <w:footnoteReference w:id="55"/>
      </w:r>
      <w:r w:rsidRPr="00453546">
        <w:rPr>
          <w:rFonts w:ascii="Times New Roman" w:hAnsi="Times New Roman" w:cs="Times New Roman"/>
          <w:sz w:val="24"/>
          <w:szCs w:val="24"/>
        </w:rPr>
        <w:t xml:space="preserve"> On April 18</w:t>
      </w:r>
      <w:r w:rsidRPr="00453546">
        <w:rPr>
          <w:rFonts w:ascii="Times New Roman" w:hAnsi="Times New Roman" w:cs="Times New Roman"/>
          <w:sz w:val="24"/>
          <w:szCs w:val="24"/>
          <w:vertAlign w:val="superscript"/>
        </w:rPr>
        <w:t>th</w:t>
      </w:r>
      <w:r w:rsidRPr="00453546">
        <w:rPr>
          <w:rFonts w:ascii="Times New Roman" w:hAnsi="Times New Roman" w:cs="Times New Roman"/>
          <w:sz w:val="24"/>
          <w:szCs w:val="24"/>
        </w:rPr>
        <w:t xml:space="preserve">, 2013, after nearly ten years of protesting and challenging against the plan for an open-pit bauxite mine on their sacred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 xml:space="preserve"> hills, the Indian Supreme Court ruled against the controversial mining proposal, and handed the local indigenous communities the right to have a decisive say on future mining proposals in the area.</w:t>
      </w:r>
      <w:r w:rsidRPr="00453546">
        <w:rPr>
          <w:rStyle w:val="FootnoteReference"/>
          <w:rFonts w:ascii="Times New Roman" w:hAnsi="Times New Roman" w:cs="Times New Roman"/>
          <w:sz w:val="24"/>
          <w:szCs w:val="24"/>
        </w:rPr>
        <w:footnoteReference w:id="56"/>
      </w:r>
      <w:r w:rsidRPr="00453546">
        <w:rPr>
          <w:rFonts w:ascii="Times New Roman" w:hAnsi="Times New Roman" w:cs="Times New Roman"/>
          <w:sz w:val="24"/>
          <w:szCs w:val="24"/>
        </w:rPr>
        <w:t xml:space="preserve"> </w:t>
      </w:r>
    </w:p>
    <w:p w14:paraId="54EF8AFA" w14:textId="77777777" w:rsidR="00D16522" w:rsidRPr="00453546" w:rsidRDefault="00D16522" w:rsidP="00122D3A">
      <w:pPr>
        <w:jc w:val="both"/>
        <w:rPr>
          <w:rFonts w:ascii="Times New Roman" w:hAnsi="Times New Roman" w:cs="Times New Roman"/>
          <w:sz w:val="24"/>
          <w:szCs w:val="24"/>
        </w:rPr>
      </w:pPr>
    </w:p>
    <w:p w14:paraId="04B3718A" w14:textId="77777777" w:rsidR="00122D3A" w:rsidRPr="00453546" w:rsidRDefault="00122D3A" w:rsidP="00122D3A">
      <w:pPr>
        <w:jc w:val="both"/>
        <w:rPr>
          <w:rFonts w:ascii="Times New Roman" w:hAnsi="Times New Roman" w:cs="Times New Roman"/>
          <w:iCs/>
          <w:sz w:val="24"/>
          <w:szCs w:val="24"/>
        </w:rPr>
      </w:pPr>
      <w:r w:rsidRPr="00453546">
        <w:rPr>
          <w:rFonts w:ascii="Times New Roman" w:hAnsi="Times New Roman" w:cs="Times New Roman"/>
          <w:sz w:val="24"/>
          <w:szCs w:val="24"/>
        </w:rPr>
        <w:t xml:space="preserve">The </w:t>
      </w:r>
      <w:proofErr w:type="spellStart"/>
      <w:r w:rsidRPr="00453546">
        <w:rPr>
          <w:rFonts w:ascii="Times New Roman" w:hAnsi="Times New Roman" w:cs="Times New Roman"/>
          <w:sz w:val="24"/>
          <w:szCs w:val="24"/>
        </w:rPr>
        <w:t>Dongria</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Kondhs</w:t>
      </w:r>
      <w:proofErr w:type="spellEnd"/>
      <w:r w:rsidRPr="00453546">
        <w:rPr>
          <w:rFonts w:ascii="Times New Roman" w:hAnsi="Times New Roman" w:cs="Times New Roman"/>
          <w:sz w:val="24"/>
          <w:szCs w:val="24"/>
        </w:rPr>
        <w:t xml:space="preserve"> (or simply “</w:t>
      </w:r>
      <w:proofErr w:type="spellStart"/>
      <w:r w:rsidRPr="00453546">
        <w:rPr>
          <w:rFonts w:ascii="Times New Roman" w:hAnsi="Times New Roman" w:cs="Times New Roman"/>
          <w:sz w:val="24"/>
          <w:szCs w:val="24"/>
        </w:rPr>
        <w:t>Dongrias</w:t>
      </w:r>
      <w:proofErr w:type="spellEnd"/>
      <w:r w:rsidRPr="00453546">
        <w:rPr>
          <w:rFonts w:ascii="Times New Roman" w:hAnsi="Times New Roman" w:cs="Times New Roman"/>
          <w:sz w:val="24"/>
          <w:szCs w:val="24"/>
        </w:rPr>
        <w:t xml:space="preserve">”) </w:t>
      </w:r>
      <w:r w:rsidRPr="00453546">
        <w:rPr>
          <w:rFonts w:ascii="Times New Roman" w:hAnsi="Times New Roman" w:cs="Times New Roman"/>
          <w:iCs/>
          <w:sz w:val="24"/>
          <w:szCs w:val="24"/>
        </w:rPr>
        <w:t xml:space="preserve">is a sub-group of the </w:t>
      </w:r>
      <w:proofErr w:type="spellStart"/>
      <w:r w:rsidRPr="00453546">
        <w:rPr>
          <w:rFonts w:ascii="Times New Roman" w:hAnsi="Times New Roman" w:cs="Times New Roman"/>
          <w:iCs/>
          <w:sz w:val="24"/>
          <w:szCs w:val="24"/>
        </w:rPr>
        <w:t>Kondha</w:t>
      </w:r>
      <w:proofErr w:type="spellEnd"/>
      <w:r w:rsidRPr="00453546">
        <w:rPr>
          <w:rFonts w:ascii="Times New Roman" w:hAnsi="Times New Roman" w:cs="Times New Roman"/>
          <w:iCs/>
          <w:sz w:val="24"/>
          <w:szCs w:val="24"/>
        </w:rPr>
        <w:t xml:space="preserve"> people, an </w:t>
      </w:r>
      <w:proofErr w:type="spellStart"/>
      <w:r w:rsidRPr="00453546">
        <w:rPr>
          <w:rFonts w:ascii="Times New Roman" w:hAnsi="Times New Roman" w:cs="Times New Roman"/>
          <w:i/>
          <w:iCs/>
          <w:sz w:val="24"/>
          <w:szCs w:val="24"/>
        </w:rPr>
        <w:t>adivasi</w:t>
      </w:r>
      <w:proofErr w:type="spellEnd"/>
      <w:r w:rsidRPr="00453546">
        <w:rPr>
          <w:rFonts w:ascii="Times New Roman" w:hAnsi="Times New Roman" w:cs="Times New Roman"/>
          <w:i/>
          <w:iCs/>
          <w:sz w:val="24"/>
          <w:szCs w:val="24"/>
        </w:rPr>
        <w:t xml:space="preserve"> </w:t>
      </w:r>
      <w:r w:rsidRPr="00453546">
        <w:rPr>
          <w:rFonts w:ascii="Times New Roman" w:hAnsi="Times New Roman" w:cs="Times New Roman"/>
          <w:iCs/>
          <w:sz w:val="24"/>
          <w:szCs w:val="24"/>
        </w:rPr>
        <w:t xml:space="preserve">(indigenous) tribal group in the remote regions of Eastern India. The </w:t>
      </w:r>
      <w:proofErr w:type="spellStart"/>
      <w:r w:rsidRPr="00453546">
        <w:rPr>
          <w:rFonts w:ascii="Times New Roman" w:hAnsi="Times New Roman" w:cs="Times New Roman"/>
          <w:iCs/>
          <w:sz w:val="24"/>
          <w:szCs w:val="24"/>
        </w:rPr>
        <w:t>Kondha</w:t>
      </w:r>
      <w:proofErr w:type="spellEnd"/>
      <w:r w:rsidRPr="00453546">
        <w:rPr>
          <w:rFonts w:ascii="Times New Roman" w:hAnsi="Times New Roman" w:cs="Times New Roman"/>
          <w:iCs/>
          <w:sz w:val="24"/>
          <w:szCs w:val="24"/>
        </w:rPr>
        <w:t xml:space="preserve"> communities are collectively classified as a “Scheduled Tribe” under Article 342 (25) of the Indian Constitution</w:t>
      </w:r>
      <w:r w:rsidRPr="00453546">
        <w:rPr>
          <w:rStyle w:val="FootnoteReference"/>
          <w:rFonts w:ascii="Times New Roman" w:hAnsi="Times New Roman" w:cs="Times New Roman"/>
          <w:iCs/>
          <w:sz w:val="24"/>
          <w:szCs w:val="24"/>
        </w:rPr>
        <w:footnoteReference w:id="57"/>
      </w:r>
      <w:r w:rsidRPr="00453546">
        <w:rPr>
          <w:rFonts w:ascii="Times New Roman" w:hAnsi="Times New Roman" w:cs="Times New Roman"/>
          <w:iCs/>
          <w:sz w:val="24"/>
          <w:szCs w:val="24"/>
        </w:rPr>
        <w:t>—a special legal destination reserved for the most “primitive” and isolated ethic groups in India.</w:t>
      </w:r>
      <w:r w:rsidRPr="00453546">
        <w:rPr>
          <w:rStyle w:val="FootnoteReference"/>
          <w:rFonts w:ascii="Times New Roman" w:hAnsi="Times New Roman" w:cs="Times New Roman"/>
          <w:iCs/>
          <w:sz w:val="24"/>
          <w:szCs w:val="24"/>
        </w:rPr>
        <w:footnoteReference w:id="58"/>
      </w:r>
      <w:r w:rsidRPr="00453546">
        <w:rPr>
          <w:rFonts w:ascii="Times New Roman" w:hAnsi="Times New Roman" w:cs="Times New Roman"/>
          <w:iCs/>
          <w:sz w:val="24"/>
          <w:szCs w:val="24"/>
        </w:rPr>
        <w:t xml:space="preserve">   Scheduled Tribes constitute roughly 8.2 percent of India’s total population,</w:t>
      </w:r>
      <w:r w:rsidRPr="00453546">
        <w:rPr>
          <w:rStyle w:val="FootnoteReference"/>
          <w:rFonts w:ascii="Times New Roman" w:hAnsi="Times New Roman" w:cs="Times New Roman"/>
          <w:iCs/>
          <w:sz w:val="24"/>
          <w:szCs w:val="24"/>
        </w:rPr>
        <w:footnoteReference w:id="59"/>
      </w:r>
      <w:r w:rsidRPr="00453546">
        <w:rPr>
          <w:rFonts w:ascii="Times New Roman" w:hAnsi="Times New Roman" w:cs="Times New Roman"/>
          <w:iCs/>
          <w:sz w:val="24"/>
          <w:szCs w:val="24"/>
        </w:rPr>
        <w:t xml:space="preserve"> </w:t>
      </w:r>
      <w:r w:rsidRPr="00453546">
        <w:rPr>
          <w:rFonts w:ascii="Times New Roman" w:hAnsi="Times New Roman" w:cs="Times New Roman"/>
          <w:iCs/>
          <w:sz w:val="24"/>
          <w:szCs w:val="24"/>
        </w:rPr>
        <w:lastRenderedPageBreak/>
        <w:t xml:space="preserve">and like the rest of the groups within this category, the </w:t>
      </w:r>
      <w:proofErr w:type="spellStart"/>
      <w:r w:rsidRPr="00453546">
        <w:rPr>
          <w:rFonts w:ascii="Times New Roman" w:hAnsi="Times New Roman" w:cs="Times New Roman"/>
          <w:iCs/>
          <w:sz w:val="24"/>
          <w:szCs w:val="24"/>
        </w:rPr>
        <w:t>Dongrias</w:t>
      </w:r>
      <w:proofErr w:type="spellEnd"/>
      <w:r w:rsidRPr="00453546">
        <w:rPr>
          <w:rFonts w:ascii="Times New Roman" w:hAnsi="Times New Roman" w:cs="Times New Roman"/>
          <w:iCs/>
          <w:sz w:val="24"/>
          <w:szCs w:val="24"/>
        </w:rPr>
        <w:t xml:space="preserve"> for the most part live in exclusive wilderness areas like hills and forests, with their livelihood based on </w:t>
      </w:r>
      <w:r w:rsidRPr="00453546">
        <w:rPr>
          <w:rFonts w:ascii="Times New Roman" w:hAnsi="Times New Roman" w:cs="Times New Roman"/>
          <w:bCs/>
          <w:iCs/>
          <w:sz w:val="24"/>
          <w:szCs w:val="24"/>
        </w:rPr>
        <w:t>subsistence economy</w:t>
      </w:r>
      <w:r w:rsidRPr="00453546">
        <w:rPr>
          <w:rFonts w:ascii="Times New Roman" w:hAnsi="Times New Roman" w:cs="Times New Roman"/>
          <w:iCs/>
          <w:sz w:val="24"/>
          <w:szCs w:val="24"/>
        </w:rPr>
        <w:t>.</w:t>
      </w:r>
      <w:r w:rsidRPr="00453546">
        <w:rPr>
          <w:rStyle w:val="FootnoteReference"/>
          <w:rFonts w:ascii="Times New Roman" w:hAnsi="Times New Roman" w:cs="Times New Roman"/>
          <w:iCs/>
          <w:sz w:val="24"/>
          <w:szCs w:val="24"/>
        </w:rPr>
        <w:footnoteReference w:id="60"/>
      </w:r>
      <w:r w:rsidRPr="00453546">
        <w:rPr>
          <w:rFonts w:ascii="Times New Roman" w:hAnsi="Times New Roman" w:cs="Times New Roman"/>
          <w:iCs/>
          <w:sz w:val="24"/>
          <w:szCs w:val="24"/>
        </w:rPr>
        <w:t xml:space="preserve"> They have marginal degree of contact with other cultures and people, and have developed their own distinctive culture, language and religion.</w:t>
      </w:r>
      <w:r w:rsidRPr="00453546">
        <w:rPr>
          <w:rStyle w:val="FootnoteReference"/>
          <w:rFonts w:ascii="Times New Roman" w:hAnsi="Times New Roman" w:cs="Times New Roman"/>
          <w:iCs/>
          <w:sz w:val="24"/>
          <w:szCs w:val="24"/>
        </w:rPr>
        <w:footnoteReference w:id="61"/>
      </w:r>
      <w:r w:rsidRPr="00453546">
        <w:rPr>
          <w:rFonts w:ascii="Times New Roman" w:hAnsi="Times New Roman" w:cs="Times New Roman"/>
          <w:iCs/>
          <w:sz w:val="24"/>
          <w:szCs w:val="24"/>
        </w:rPr>
        <w:t xml:space="preserve">  </w:t>
      </w:r>
    </w:p>
    <w:p w14:paraId="73177101" w14:textId="77777777" w:rsidR="00122D3A" w:rsidRPr="00453546" w:rsidRDefault="00122D3A" w:rsidP="00122D3A">
      <w:pPr>
        <w:jc w:val="both"/>
        <w:rPr>
          <w:rFonts w:ascii="Times New Roman" w:hAnsi="Times New Roman" w:cs="Times New Roman"/>
          <w:iCs/>
          <w:sz w:val="24"/>
          <w:szCs w:val="24"/>
        </w:rPr>
      </w:pPr>
      <w:r w:rsidRPr="00453546">
        <w:rPr>
          <w:rFonts w:ascii="Times New Roman" w:hAnsi="Times New Roman" w:cs="Times New Roman"/>
          <w:sz w:val="24"/>
          <w:szCs w:val="24"/>
        </w:rPr>
        <w:t xml:space="preserve">One of the India’s most remote tribes, the </w:t>
      </w:r>
      <w:proofErr w:type="spellStart"/>
      <w:r w:rsidRPr="00453546">
        <w:rPr>
          <w:rFonts w:ascii="Times New Roman" w:hAnsi="Times New Roman" w:cs="Times New Roman"/>
          <w:sz w:val="24"/>
          <w:szCs w:val="24"/>
        </w:rPr>
        <w:t>Dongria</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Kondh</w:t>
      </w:r>
      <w:proofErr w:type="spellEnd"/>
      <w:r w:rsidRPr="00453546">
        <w:rPr>
          <w:rFonts w:ascii="Times New Roman" w:hAnsi="Times New Roman" w:cs="Times New Roman"/>
          <w:sz w:val="24"/>
          <w:szCs w:val="24"/>
        </w:rPr>
        <w:t xml:space="preserve"> people are both linguistically and geographically isolated. </w:t>
      </w:r>
      <w:proofErr w:type="spellStart"/>
      <w:r w:rsidRPr="00453546">
        <w:rPr>
          <w:rFonts w:ascii="Times New Roman" w:hAnsi="Times New Roman" w:cs="Times New Roman"/>
          <w:sz w:val="24"/>
          <w:szCs w:val="24"/>
        </w:rPr>
        <w:t>Dongrias</w:t>
      </w:r>
      <w:proofErr w:type="spellEnd"/>
      <w:r w:rsidRPr="00453546">
        <w:rPr>
          <w:rFonts w:ascii="Times New Roman" w:hAnsi="Times New Roman" w:cs="Times New Roman"/>
          <w:sz w:val="24"/>
          <w:szCs w:val="24"/>
        </w:rPr>
        <w:t xml:space="preserve"> predominately speak </w:t>
      </w:r>
      <w:proofErr w:type="spellStart"/>
      <w:r w:rsidRPr="00453546">
        <w:rPr>
          <w:rFonts w:ascii="Times New Roman" w:hAnsi="Times New Roman" w:cs="Times New Roman"/>
          <w:sz w:val="24"/>
          <w:szCs w:val="24"/>
        </w:rPr>
        <w:t>Kui</w:t>
      </w:r>
      <w:proofErr w:type="spellEnd"/>
      <w:r w:rsidRPr="00453546">
        <w:rPr>
          <w:rFonts w:ascii="Times New Roman" w:hAnsi="Times New Roman" w:cs="Times New Roman"/>
          <w:sz w:val="24"/>
          <w:szCs w:val="24"/>
        </w:rPr>
        <w:t>, a Dravidian language with fewer than one million speakers.</w:t>
      </w:r>
      <w:r w:rsidRPr="00453546">
        <w:rPr>
          <w:rStyle w:val="FootnoteReference"/>
          <w:rFonts w:ascii="Times New Roman" w:hAnsi="Times New Roman" w:cs="Times New Roman"/>
          <w:sz w:val="24"/>
          <w:szCs w:val="24"/>
        </w:rPr>
        <w:footnoteReference w:id="62"/>
      </w:r>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Kui</w:t>
      </w:r>
      <w:proofErr w:type="spellEnd"/>
      <w:r w:rsidRPr="00453546">
        <w:rPr>
          <w:rFonts w:ascii="Times New Roman" w:hAnsi="Times New Roman" w:cs="Times New Roman"/>
          <w:sz w:val="24"/>
          <w:szCs w:val="24"/>
        </w:rPr>
        <w:t xml:space="preserve"> is officially classified as a threatened language in India, with few outside of Odisha (formally Orissa) can understand.</w:t>
      </w:r>
      <w:r w:rsidRPr="00453546">
        <w:rPr>
          <w:rStyle w:val="FootnoteReference"/>
          <w:rFonts w:ascii="Times New Roman" w:hAnsi="Times New Roman" w:cs="Times New Roman"/>
          <w:sz w:val="24"/>
          <w:szCs w:val="24"/>
        </w:rPr>
        <w:footnoteReference w:id="63"/>
      </w:r>
      <w:r w:rsidRPr="00453546">
        <w:rPr>
          <w:rFonts w:ascii="Times New Roman" w:hAnsi="Times New Roman" w:cs="Times New Roman"/>
          <w:sz w:val="24"/>
          <w:szCs w:val="24"/>
        </w:rPr>
        <w:t xml:space="preserve">  What separates the </w:t>
      </w:r>
      <w:proofErr w:type="spellStart"/>
      <w:r w:rsidRPr="00453546">
        <w:rPr>
          <w:rFonts w:ascii="Times New Roman" w:hAnsi="Times New Roman" w:cs="Times New Roman"/>
          <w:sz w:val="24"/>
          <w:szCs w:val="24"/>
        </w:rPr>
        <w:t>Dongrias</w:t>
      </w:r>
      <w:proofErr w:type="spellEnd"/>
      <w:r w:rsidRPr="00453546">
        <w:rPr>
          <w:rFonts w:ascii="Times New Roman" w:hAnsi="Times New Roman" w:cs="Times New Roman"/>
          <w:sz w:val="24"/>
          <w:szCs w:val="24"/>
        </w:rPr>
        <w:t xml:space="preserve"> from the rest of the </w:t>
      </w:r>
      <w:proofErr w:type="spellStart"/>
      <w:r w:rsidRPr="00453546">
        <w:rPr>
          <w:rFonts w:ascii="Times New Roman" w:hAnsi="Times New Roman" w:cs="Times New Roman"/>
          <w:sz w:val="24"/>
          <w:szCs w:val="24"/>
        </w:rPr>
        <w:t>Kondh</w:t>
      </w:r>
      <w:proofErr w:type="spellEnd"/>
      <w:r w:rsidRPr="00453546">
        <w:rPr>
          <w:rFonts w:ascii="Times New Roman" w:hAnsi="Times New Roman" w:cs="Times New Roman"/>
          <w:sz w:val="24"/>
          <w:szCs w:val="24"/>
        </w:rPr>
        <w:t xml:space="preserve"> people is their cultural and spiritual connection with the </w:t>
      </w:r>
      <w:proofErr w:type="spellStart"/>
      <w:r w:rsidRPr="00453546">
        <w:rPr>
          <w:rFonts w:ascii="Times New Roman" w:hAnsi="Times New Roman" w:cs="Times New Roman"/>
          <w:sz w:val="24"/>
          <w:szCs w:val="24"/>
        </w:rPr>
        <w:t>Niyamigiri</w:t>
      </w:r>
      <w:proofErr w:type="spellEnd"/>
      <w:r w:rsidRPr="00453546">
        <w:rPr>
          <w:rFonts w:ascii="Times New Roman" w:hAnsi="Times New Roman" w:cs="Times New Roman"/>
          <w:sz w:val="24"/>
          <w:szCs w:val="24"/>
        </w:rPr>
        <w:t xml:space="preserve"> hills. The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 xml:space="preserve"> hills in Southern Odisha is the home of roughly</w:t>
      </w:r>
      <w:r w:rsidRPr="00453546">
        <w:rPr>
          <w:rFonts w:ascii="Times New Roman" w:hAnsi="Times New Roman" w:cs="Times New Roman"/>
          <w:sz w:val="24"/>
          <w:szCs w:val="24"/>
          <w:lang w:val="es-ES_tradnl"/>
        </w:rPr>
        <w:t xml:space="preserve"> </w:t>
      </w:r>
      <w:r w:rsidRPr="00453546">
        <w:rPr>
          <w:rFonts w:ascii="Times New Roman" w:hAnsi="Times New Roman" w:cs="Times New Roman"/>
          <w:sz w:val="24"/>
          <w:szCs w:val="24"/>
        </w:rPr>
        <w:t xml:space="preserve">8,000 </w:t>
      </w:r>
      <w:proofErr w:type="spellStart"/>
      <w:r w:rsidRPr="00453546">
        <w:rPr>
          <w:rFonts w:ascii="Times New Roman" w:hAnsi="Times New Roman" w:cs="Times New Roman"/>
          <w:sz w:val="24"/>
          <w:szCs w:val="24"/>
        </w:rPr>
        <w:t>Dongrias</w:t>
      </w:r>
      <w:proofErr w:type="spellEnd"/>
      <w:r w:rsidRPr="00453546">
        <w:rPr>
          <w:rFonts w:ascii="Times New Roman" w:hAnsi="Times New Roman" w:cs="Times New Roman"/>
          <w:sz w:val="24"/>
          <w:szCs w:val="24"/>
        </w:rPr>
        <w:t xml:space="preserve">, spreading over 90 </w:t>
      </w:r>
      <w:proofErr w:type="spellStart"/>
      <w:r w:rsidRPr="00453546">
        <w:rPr>
          <w:rFonts w:ascii="Times New Roman" w:hAnsi="Times New Roman" w:cs="Times New Roman"/>
          <w:i/>
          <w:sz w:val="24"/>
          <w:szCs w:val="24"/>
        </w:rPr>
        <w:t>adivasi</w:t>
      </w:r>
      <w:proofErr w:type="spellEnd"/>
      <w:r w:rsidRPr="00453546">
        <w:rPr>
          <w:rFonts w:ascii="Times New Roman" w:hAnsi="Times New Roman" w:cs="Times New Roman"/>
          <w:i/>
          <w:sz w:val="24"/>
          <w:szCs w:val="24"/>
        </w:rPr>
        <w:t xml:space="preserve"> </w:t>
      </w:r>
      <w:r w:rsidRPr="00453546">
        <w:rPr>
          <w:rFonts w:ascii="Times New Roman" w:hAnsi="Times New Roman" w:cs="Times New Roman"/>
          <w:sz w:val="24"/>
          <w:szCs w:val="24"/>
        </w:rPr>
        <w:t>communities around the mostly undeveloped hills.</w:t>
      </w:r>
      <w:r w:rsidRPr="00453546">
        <w:rPr>
          <w:rStyle w:val="FootnoteReference"/>
          <w:rFonts w:ascii="Times New Roman" w:hAnsi="Times New Roman" w:cs="Times New Roman"/>
          <w:sz w:val="24"/>
          <w:szCs w:val="24"/>
        </w:rPr>
        <w:footnoteReference w:id="64"/>
      </w:r>
      <w:r w:rsidRPr="00453546">
        <w:rPr>
          <w:rFonts w:ascii="Times New Roman" w:hAnsi="Times New Roman" w:cs="Times New Roman"/>
          <w:sz w:val="24"/>
          <w:szCs w:val="24"/>
        </w:rPr>
        <w:t xml:space="preserve"> </w:t>
      </w:r>
      <w:r w:rsidRPr="00453546">
        <w:rPr>
          <w:rFonts w:ascii="Times New Roman" w:hAnsi="Times New Roman" w:cs="Times New Roman"/>
          <w:iCs/>
          <w:sz w:val="24"/>
          <w:szCs w:val="24"/>
        </w:rPr>
        <w:t xml:space="preserve">To be a </w:t>
      </w:r>
      <w:proofErr w:type="spellStart"/>
      <w:r w:rsidRPr="00453546">
        <w:rPr>
          <w:rFonts w:ascii="Times New Roman" w:hAnsi="Times New Roman" w:cs="Times New Roman"/>
          <w:iCs/>
          <w:sz w:val="24"/>
          <w:szCs w:val="24"/>
        </w:rPr>
        <w:t>Dongria</w:t>
      </w:r>
      <w:proofErr w:type="spellEnd"/>
      <w:r w:rsidRPr="00453546">
        <w:rPr>
          <w:rFonts w:ascii="Times New Roman" w:hAnsi="Times New Roman" w:cs="Times New Roman"/>
          <w:iCs/>
          <w:sz w:val="24"/>
          <w:szCs w:val="24"/>
        </w:rPr>
        <w:t xml:space="preserve"> </w:t>
      </w:r>
      <w:proofErr w:type="spellStart"/>
      <w:r w:rsidRPr="00453546">
        <w:rPr>
          <w:rFonts w:ascii="Times New Roman" w:hAnsi="Times New Roman" w:cs="Times New Roman"/>
          <w:iCs/>
          <w:sz w:val="24"/>
          <w:szCs w:val="24"/>
        </w:rPr>
        <w:t>Kondh</w:t>
      </w:r>
      <w:proofErr w:type="spellEnd"/>
      <w:r w:rsidRPr="00453546">
        <w:rPr>
          <w:rFonts w:ascii="Times New Roman" w:hAnsi="Times New Roman" w:cs="Times New Roman"/>
          <w:iCs/>
          <w:sz w:val="24"/>
          <w:szCs w:val="24"/>
        </w:rPr>
        <w:t xml:space="preserve"> is to live in the </w:t>
      </w:r>
      <w:proofErr w:type="spellStart"/>
      <w:r w:rsidRPr="00453546">
        <w:rPr>
          <w:rFonts w:ascii="Times New Roman" w:hAnsi="Times New Roman" w:cs="Times New Roman"/>
          <w:iCs/>
          <w:sz w:val="24"/>
          <w:szCs w:val="24"/>
        </w:rPr>
        <w:t>Niyamgiri</w:t>
      </w:r>
      <w:proofErr w:type="spellEnd"/>
      <w:r w:rsidRPr="00453546">
        <w:rPr>
          <w:rFonts w:ascii="Times New Roman" w:hAnsi="Times New Roman" w:cs="Times New Roman"/>
          <w:iCs/>
          <w:sz w:val="24"/>
          <w:szCs w:val="24"/>
        </w:rPr>
        <w:t xml:space="preserve"> hills– they do not live anywhere else.</w:t>
      </w:r>
      <w:r w:rsidRPr="00453546">
        <w:rPr>
          <w:rStyle w:val="FootnoteReference"/>
          <w:rFonts w:ascii="Times New Roman" w:hAnsi="Times New Roman" w:cs="Times New Roman"/>
          <w:iCs/>
          <w:sz w:val="24"/>
          <w:szCs w:val="24"/>
        </w:rPr>
        <w:footnoteReference w:id="65"/>
      </w:r>
      <w:r w:rsidRPr="00453546">
        <w:rPr>
          <w:rFonts w:ascii="Times New Roman" w:hAnsi="Times New Roman" w:cs="Times New Roman"/>
          <w:sz w:val="24"/>
          <w:szCs w:val="24"/>
        </w:rPr>
        <w:t xml:space="preserve"> </w:t>
      </w:r>
      <w:proofErr w:type="spellStart"/>
      <w:r w:rsidRPr="00453546">
        <w:rPr>
          <w:rFonts w:ascii="Times New Roman" w:hAnsi="Times New Roman" w:cs="Times New Roman"/>
          <w:iCs/>
          <w:sz w:val="24"/>
          <w:szCs w:val="24"/>
        </w:rPr>
        <w:t>Dongria</w:t>
      </w:r>
      <w:proofErr w:type="spellEnd"/>
      <w:r w:rsidRPr="00453546">
        <w:rPr>
          <w:rFonts w:ascii="Times New Roman" w:hAnsi="Times New Roman" w:cs="Times New Roman"/>
          <w:iCs/>
          <w:sz w:val="24"/>
          <w:szCs w:val="24"/>
        </w:rPr>
        <w:t xml:space="preserve"> </w:t>
      </w:r>
      <w:proofErr w:type="spellStart"/>
      <w:r w:rsidRPr="00453546">
        <w:rPr>
          <w:rFonts w:ascii="Times New Roman" w:hAnsi="Times New Roman" w:cs="Times New Roman"/>
          <w:iCs/>
          <w:sz w:val="24"/>
          <w:szCs w:val="24"/>
        </w:rPr>
        <w:t>Kondh</w:t>
      </w:r>
      <w:proofErr w:type="spellEnd"/>
      <w:r w:rsidRPr="00453546">
        <w:rPr>
          <w:rFonts w:ascii="Times New Roman" w:hAnsi="Times New Roman" w:cs="Times New Roman"/>
          <w:iCs/>
          <w:sz w:val="24"/>
          <w:szCs w:val="24"/>
        </w:rPr>
        <w:t xml:space="preserve"> people consider the </w:t>
      </w:r>
      <w:proofErr w:type="spellStart"/>
      <w:r w:rsidRPr="00453546">
        <w:rPr>
          <w:rFonts w:ascii="Times New Roman" w:hAnsi="Times New Roman" w:cs="Times New Roman"/>
          <w:iCs/>
          <w:sz w:val="24"/>
          <w:szCs w:val="24"/>
        </w:rPr>
        <w:t>Niyamgiri</w:t>
      </w:r>
      <w:proofErr w:type="spellEnd"/>
      <w:r w:rsidRPr="00453546">
        <w:rPr>
          <w:rFonts w:ascii="Times New Roman" w:hAnsi="Times New Roman" w:cs="Times New Roman"/>
          <w:iCs/>
          <w:sz w:val="24"/>
          <w:szCs w:val="24"/>
        </w:rPr>
        <w:t xml:space="preserve"> hills to be holy, with each mountain representing a deity. Among the hills in </w:t>
      </w:r>
      <w:proofErr w:type="spellStart"/>
      <w:r w:rsidRPr="00453546">
        <w:rPr>
          <w:rFonts w:ascii="Times New Roman" w:hAnsi="Times New Roman" w:cs="Times New Roman"/>
          <w:iCs/>
          <w:sz w:val="24"/>
          <w:szCs w:val="24"/>
        </w:rPr>
        <w:t>Niyamgiri</w:t>
      </w:r>
      <w:proofErr w:type="spellEnd"/>
      <w:r w:rsidRPr="00453546">
        <w:rPr>
          <w:rFonts w:ascii="Times New Roman" w:hAnsi="Times New Roman" w:cs="Times New Roman"/>
          <w:iCs/>
          <w:sz w:val="24"/>
          <w:szCs w:val="24"/>
        </w:rPr>
        <w:t xml:space="preserve">, the </w:t>
      </w:r>
      <w:proofErr w:type="spellStart"/>
      <w:r w:rsidRPr="00453546">
        <w:rPr>
          <w:rFonts w:ascii="Times New Roman" w:hAnsi="Times New Roman" w:cs="Times New Roman"/>
          <w:iCs/>
          <w:sz w:val="24"/>
          <w:szCs w:val="24"/>
        </w:rPr>
        <w:t>Niyam</w:t>
      </w:r>
      <w:proofErr w:type="spellEnd"/>
      <w:r w:rsidRPr="00453546">
        <w:rPr>
          <w:rFonts w:ascii="Times New Roman" w:hAnsi="Times New Roman" w:cs="Times New Roman"/>
          <w:iCs/>
          <w:sz w:val="24"/>
          <w:szCs w:val="24"/>
        </w:rPr>
        <w:t xml:space="preserve"> </w:t>
      </w:r>
      <w:proofErr w:type="spellStart"/>
      <w:r w:rsidRPr="00453546">
        <w:rPr>
          <w:rFonts w:ascii="Times New Roman" w:hAnsi="Times New Roman" w:cs="Times New Roman"/>
          <w:iCs/>
          <w:sz w:val="24"/>
          <w:szCs w:val="24"/>
        </w:rPr>
        <w:t>Dongar</w:t>
      </w:r>
      <w:proofErr w:type="spellEnd"/>
      <w:r w:rsidRPr="00453546">
        <w:rPr>
          <w:rFonts w:ascii="Times New Roman" w:hAnsi="Times New Roman" w:cs="Times New Roman"/>
          <w:iCs/>
          <w:sz w:val="24"/>
          <w:szCs w:val="24"/>
        </w:rPr>
        <w:t xml:space="preserve"> Mountain is the holiest of the holy—it is the seat of their supreme god, </w:t>
      </w:r>
      <w:proofErr w:type="spellStart"/>
      <w:r w:rsidRPr="00453546">
        <w:rPr>
          <w:rFonts w:ascii="Times New Roman" w:hAnsi="Times New Roman" w:cs="Times New Roman"/>
          <w:iCs/>
          <w:sz w:val="24"/>
          <w:szCs w:val="24"/>
        </w:rPr>
        <w:t>Niyam</w:t>
      </w:r>
      <w:proofErr w:type="spellEnd"/>
      <w:r w:rsidRPr="00453546">
        <w:rPr>
          <w:rFonts w:ascii="Times New Roman" w:hAnsi="Times New Roman" w:cs="Times New Roman"/>
          <w:iCs/>
          <w:sz w:val="24"/>
          <w:szCs w:val="24"/>
        </w:rPr>
        <w:t xml:space="preserve"> Raja.</w:t>
      </w:r>
      <w:r w:rsidRPr="00453546">
        <w:rPr>
          <w:rStyle w:val="FootnoteReference"/>
          <w:rFonts w:ascii="Times New Roman" w:hAnsi="Times New Roman" w:cs="Times New Roman"/>
          <w:iCs/>
          <w:sz w:val="24"/>
          <w:szCs w:val="24"/>
        </w:rPr>
        <w:footnoteReference w:id="66"/>
      </w:r>
      <w:r w:rsidRPr="00453546">
        <w:rPr>
          <w:rFonts w:ascii="Times New Roman" w:hAnsi="Times New Roman" w:cs="Times New Roman"/>
          <w:iCs/>
          <w:sz w:val="24"/>
          <w:szCs w:val="24"/>
        </w:rPr>
        <w:t xml:space="preserve"> The </w:t>
      </w:r>
      <w:proofErr w:type="spellStart"/>
      <w:r w:rsidRPr="00453546">
        <w:rPr>
          <w:rFonts w:ascii="Times New Roman" w:hAnsi="Times New Roman" w:cs="Times New Roman"/>
          <w:iCs/>
          <w:sz w:val="24"/>
          <w:szCs w:val="24"/>
        </w:rPr>
        <w:t>Dongrias</w:t>
      </w:r>
      <w:proofErr w:type="spellEnd"/>
      <w:r w:rsidRPr="00453546">
        <w:rPr>
          <w:rFonts w:ascii="Times New Roman" w:hAnsi="Times New Roman" w:cs="Times New Roman"/>
          <w:iCs/>
          <w:sz w:val="24"/>
          <w:szCs w:val="24"/>
        </w:rPr>
        <w:t xml:space="preserve"> do not cultivate on the </w:t>
      </w:r>
      <w:proofErr w:type="spellStart"/>
      <w:r w:rsidRPr="00453546">
        <w:rPr>
          <w:rFonts w:ascii="Times New Roman" w:hAnsi="Times New Roman" w:cs="Times New Roman"/>
          <w:iCs/>
          <w:sz w:val="24"/>
          <w:szCs w:val="24"/>
        </w:rPr>
        <w:t>Niyam</w:t>
      </w:r>
      <w:proofErr w:type="spellEnd"/>
      <w:r w:rsidRPr="00453546">
        <w:rPr>
          <w:rFonts w:ascii="Times New Roman" w:hAnsi="Times New Roman" w:cs="Times New Roman"/>
          <w:iCs/>
          <w:sz w:val="24"/>
          <w:szCs w:val="24"/>
        </w:rPr>
        <w:t xml:space="preserve"> </w:t>
      </w:r>
      <w:proofErr w:type="spellStart"/>
      <w:r w:rsidRPr="00453546">
        <w:rPr>
          <w:rFonts w:ascii="Times New Roman" w:hAnsi="Times New Roman" w:cs="Times New Roman"/>
          <w:iCs/>
          <w:sz w:val="24"/>
          <w:szCs w:val="24"/>
        </w:rPr>
        <w:t>Dongar</w:t>
      </w:r>
      <w:proofErr w:type="spellEnd"/>
      <w:r w:rsidRPr="00453546">
        <w:rPr>
          <w:rFonts w:ascii="Times New Roman" w:hAnsi="Times New Roman" w:cs="Times New Roman"/>
          <w:iCs/>
          <w:sz w:val="24"/>
          <w:szCs w:val="24"/>
        </w:rPr>
        <w:t xml:space="preserve"> hill top out of respect, and the hill is worshipped by them.</w:t>
      </w:r>
      <w:r w:rsidRPr="00453546">
        <w:rPr>
          <w:rStyle w:val="FootnoteReference"/>
          <w:rFonts w:ascii="Times New Roman" w:hAnsi="Times New Roman" w:cs="Times New Roman"/>
          <w:iCs/>
          <w:sz w:val="24"/>
          <w:szCs w:val="24"/>
        </w:rPr>
        <w:footnoteReference w:id="67"/>
      </w:r>
      <w:r w:rsidRPr="00453546">
        <w:rPr>
          <w:rFonts w:ascii="Times New Roman" w:hAnsi="Times New Roman" w:cs="Times New Roman"/>
          <w:iCs/>
          <w:sz w:val="24"/>
          <w:szCs w:val="24"/>
        </w:rPr>
        <w:t xml:space="preserve">  The </w:t>
      </w:r>
      <w:proofErr w:type="spellStart"/>
      <w:r w:rsidRPr="00453546">
        <w:rPr>
          <w:rFonts w:ascii="Times New Roman" w:hAnsi="Times New Roman" w:cs="Times New Roman"/>
          <w:iCs/>
          <w:sz w:val="24"/>
          <w:szCs w:val="24"/>
        </w:rPr>
        <w:t>Dongrias</w:t>
      </w:r>
      <w:proofErr w:type="spellEnd"/>
      <w:r w:rsidRPr="00453546">
        <w:rPr>
          <w:rFonts w:ascii="Times New Roman" w:hAnsi="Times New Roman" w:cs="Times New Roman"/>
          <w:iCs/>
          <w:sz w:val="24"/>
          <w:szCs w:val="24"/>
        </w:rPr>
        <w:t xml:space="preserve"> believe that </w:t>
      </w:r>
      <w:proofErr w:type="spellStart"/>
      <w:r w:rsidRPr="00453546">
        <w:rPr>
          <w:rFonts w:ascii="Times New Roman" w:hAnsi="Times New Roman" w:cs="Times New Roman"/>
          <w:iCs/>
          <w:sz w:val="24"/>
          <w:szCs w:val="24"/>
        </w:rPr>
        <w:t>Niyam</w:t>
      </w:r>
      <w:proofErr w:type="spellEnd"/>
      <w:r w:rsidRPr="00453546">
        <w:rPr>
          <w:rFonts w:ascii="Times New Roman" w:hAnsi="Times New Roman" w:cs="Times New Roman"/>
          <w:iCs/>
          <w:sz w:val="24"/>
          <w:szCs w:val="24"/>
        </w:rPr>
        <w:t xml:space="preserve"> Raja, the “maker of all things”, has created the </w:t>
      </w:r>
      <w:proofErr w:type="spellStart"/>
      <w:r w:rsidRPr="00453546">
        <w:rPr>
          <w:rFonts w:ascii="Times New Roman" w:hAnsi="Times New Roman" w:cs="Times New Roman"/>
          <w:iCs/>
          <w:sz w:val="24"/>
          <w:szCs w:val="24"/>
        </w:rPr>
        <w:t>Niyamgiri</w:t>
      </w:r>
      <w:proofErr w:type="spellEnd"/>
      <w:r w:rsidRPr="00453546">
        <w:rPr>
          <w:rFonts w:ascii="Times New Roman" w:hAnsi="Times New Roman" w:cs="Times New Roman"/>
          <w:iCs/>
          <w:sz w:val="24"/>
          <w:szCs w:val="24"/>
        </w:rPr>
        <w:t xml:space="preserve"> hills as the homeland for the </w:t>
      </w:r>
      <w:proofErr w:type="spellStart"/>
      <w:r w:rsidRPr="00453546">
        <w:rPr>
          <w:rFonts w:ascii="Times New Roman" w:hAnsi="Times New Roman" w:cs="Times New Roman"/>
          <w:iCs/>
          <w:sz w:val="24"/>
          <w:szCs w:val="24"/>
        </w:rPr>
        <w:t>Dongria</w:t>
      </w:r>
      <w:proofErr w:type="spellEnd"/>
      <w:r w:rsidRPr="00453546">
        <w:rPr>
          <w:rFonts w:ascii="Times New Roman" w:hAnsi="Times New Roman" w:cs="Times New Roman"/>
          <w:iCs/>
          <w:sz w:val="24"/>
          <w:szCs w:val="24"/>
        </w:rPr>
        <w:t xml:space="preserve"> </w:t>
      </w:r>
      <w:proofErr w:type="spellStart"/>
      <w:r w:rsidRPr="00453546">
        <w:rPr>
          <w:rFonts w:ascii="Times New Roman" w:hAnsi="Times New Roman" w:cs="Times New Roman"/>
          <w:iCs/>
          <w:sz w:val="24"/>
          <w:szCs w:val="24"/>
        </w:rPr>
        <w:t>Kondh</w:t>
      </w:r>
      <w:proofErr w:type="spellEnd"/>
      <w:r w:rsidRPr="00453546">
        <w:rPr>
          <w:rFonts w:ascii="Times New Roman" w:hAnsi="Times New Roman" w:cs="Times New Roman"/>
          <w:iCs/>
          <w:sz w:val="24"/>
          <w:szCs w:val="24"/>
        </w:rPr>
        <w:t xml:space="preserve"> people.</w:t>
      </w:r>
      <w:r w:rsidRPr="00453546">
        <w:rPr>
          <w:rStyle w:val="FootnoteReference"/>
          <w:rFonts w:ascii="Times New Roman" w:hAnsi="Times New Roman" w:cs="Times New Roman"/>
          <w:iCs/>
          <w:sz w:val="24"/>
          <w:szCs w:val="24"/>
        </w:rPr>
        <w:footnoteReference w:id="68"/>
      </w:r>
      <w:r w:rsidRPr="00453546">
        <w:rPr>
          <w:rFonts w:ascii="Times New Roman" w:hAnsi="Times New Roman" w:cs="Times New Roman"/>
          <w:iCs/>
          <w:sz w:val="24"/>
          <w:szCs w:val="24"/>
        </w:rPr>
        <w:t xml:space="preserve"> </w:t>
      </w:r>
    </w:p>
    <w:p w14:paraId="65572434" w14:textId="77777777" w:rsidR="00D16522" w:rsidRPr="00453546" w:rsidRDefault="00D16522" w:rsidP="00122D3A">
      <w:pPr>
        <w:jc w:val="both"/>
        <w:rPr>
          <w:rFonts w:ascii="Times New Roman" w:hAnsi="Times New Roman" w:cs="Times New Roman"/>
          <w:iCs/>
          <w:sz w:val="24"/>
          <w:szCs w:val="24"/>
        </w:rPr>
      </w:pPr>
    </w:p>
    <w:p w14:paraId="5B14CE02" w14:textId="77777777" w:rsidR="00122D3A" w:rsidRPr="00453546" w:rsidRDefault="00122D3A" w:rsidP="00122D3A">
      <w:pPr>
        <w:jc w:val="both"/>
        <w:rPr>
          <w:rFonts w:ascii="Times New Roman" w:hAnsi="Times New Roman" w:cs="Times New Roman"/>
          <w:sz w:val="24"/>
          <w:szCs w:val="24"/>
        </w:rPr>
      </w:pPr>
      <w:r w:rsidRPr="00453546">
        <w:rPr>
          <w:rFonts w:ascii="Times New Roman" w:hAnsi="Times New Roman" w:cs="Times New Roman"/>
          <w:iCs/>
          <w:sz w:val="24"/>
          <w:szCs w:val="24"/>
        </w:rPr>
        <w:t xml:space="preserve">The significance of </w:t>
      </w:r>
      <w:proofErr w:type="spellStart"/>
      <w:r w:rsidRPr="00453546">
        <w:rPr>
          <w:rFonts w:ascii="Times New Roman" w:hAnsi="Times New Roman" w:cs="Times New Roman"/>
          <w:iCs/>
          <w:sz w:val="24"/>
          <w:szCs w:val="24"/>
        </w:rPr>
        <w:t>Niyamgiri</w:t>
      </w:r>
      <w:proofErr w:type="spellEnd"/>
      <w:r w:rsidRPr="00453546">
        <w:rPr>
          <w:rFonts w:ascii="Times New Roman" w:hAnsi="Times New Roman" w:cs="Times New Roman"/>
          <w:iCs/>
          <w:sz w:val="24"/>
          <w:szCs w:val="24"/>
        </w:rPr>
        <w:t xml:space="preserve"> hills for </w:t>
      </w:r>
      <w:proofErr w:type="spellStart"/>
      <w:r w:rsidRPr="00453546">
        <w:rPr>
          <w:rFonts w:ascii="Times New Roman" w:hAnsi="Times New Roman" w:cs="Times New Roman"/>
          <w:iCs/>
          <w:sz w:val="24"/>
          <w:szCs w:val="24"/>
        </w:rPr>
        <w:t>Dongrias</w:t>
      </w:r>
      <w:proofErr w:type="spellEnd"/>
      <w:r w:rsidRPr="00453546">
        <w:rPr>
          <w:rFonts w:ascii="Times New Roman" w:hAnsi="Times New Roman" w:cs="Times New Roman"/>
          <w:iCs/>
          <w:sz w:val="24"/>
          <w:szCs w:val="24"/>
        </w:rPr>
        <w:t xml:space="preserve"> is not only spiritual, but also material. For centuries, </w:t>
      </w:r>
      <w:proofErr w:type="spellStart"/>
      <w:r w:rsidRPr="00453546">
        <w:rPr>
          <w:rFonts w:ascii="Times New Roman" w:hAnsi="Times New Roman" w:cs="Times New Roman"/>
          <w:iCs/>
          <w:sz w:val="24"/>
          <w:szCs w:val="24"/>
        </w:rPr>
        <w:t>Dongrias</w:t>
      </w:r>
      <w:proofErr w:type="spellEnd"/>
      <w:r w:rsidRPr="00453546">
        <w:rPr>
          <w:rFonts w:ascii="Times New Roman" w:hAnsi="Times New Roman" w:cs="Times New Roman"/>
          <w:iCs/>
          <w:sz w:val="24"/>
          <w:szCs w:val="24"/>
        </w:rPr>
        <w:t xml:space="preserve"> have based their agrarian livelihood on the rich ecosystem offered by the densely forested hills. “We get everything from the jungle like the fruits we take to the market. This is like our source of life for our </w:t>
      </w:r>
      <w:proofErr w:type="spellStart"/>
      <w:r w:rsidRPr="00453546">
        <w:rPr>
          <w:rFonts w:ascii="Times New Roman" w:hAnsi="Times New Roman" w:cs="Times New Roman"/>
          <w:iCs/>
          <w:sz w:val="24"/>
          <w:szCs w:val="24"/>
        </w:rPr>
        <w:t>Dongria</w:t>
      </w:r>
      <w:proofErr w:type="spellEnd"/>
      <w:r w:rsidRPr="00453546">
        <w:rPr>
          <w:rFonts w:ascii="Times New Roman" w:hAnsi="Times New Roman" w:cs="Times New Roman"/>
          <w:iCs/>
          <w:sz w:val="24"/>
          <w:szCs w:val="24"/>
        </w:rPr>
        <w:t xml:space="preserve"> </w:t>
      </w:r>
      <w:proofErr w:type="spellStart"/>
      <w:r w:rsidRPr="00453546">
        <w:rPr>
          <w:rFonts w:ascii="Times New Roman" w:hAnsi="Times New Roman" w:cs="Times New Roman"/>
          <w:iCs/>
          <w:sz w:val="24"/>
          <w:szCs w:val="24"/>
        </w:rPr>
        <w:t>Kondh</w:t>
      </w:r>
      <w:proofErr w:type="spellEnd"/>
      <w:r w:rsidRPr="00453546">
        <w:rPr>
          <w:rFonts w:ascii="Times New Roman" w:hAnsi="Times New Roman" w:cs="Times New Roman"/>
          <w:iCs/>
          <w:sz w:val="24"/>
          <w:szCs w:val="24"/>
        </w:rPr>
        <w:t xml:space="preserve"> people.”</w:t>
      </w:r>
      <w:r w:rsidRPr="00453546">
        <w:rPr>
          <w:rStyle w:val="FootnoteReference"/>
          <w:rFonts w:ascii="Times New Roman" w:hAnsi="Times New Roman" w:cs="Times New Roman"/>
          <w:iCs/>
          <w:sz w:val="24"/>
          <w:szCs w:val="24"/>
        </w:rPr>
        <w:footnoteReference w:id="69"/>
      </w:r>
      <w:r w:rsidRPr="00453546">
        <w:rPr>
          <w:rFonts w:ascii="Times New Roman" w:hAnsi="Times New Roman" w:cs="Times New Roman"/>
          <w:iCs/>
          <w:sz w:val="24"/>
          <w:szCs w:val="24"/>
        </w:rPr>
        <w:t> </w:t>
      </w:r>
      <w:proofErr w:type="spellStart"/>
      <w:r w:rsidRPr="00453546">
        <w:rPr>
          <w:rFonts w:ascii="Times New Roman" w:hAnsi="Times New Roman" w:cs="Times New Roman"/>
          <w:iCs/>
          <w:sz w:val="24"/>
          <w:szCs w:val="24"/>
        </w:rPr>
        <w:t>Niyamgiri</w:t>
      </w:r>
      <w:proofErr w:type="spellEnd"/>
      <w:r w:rsidRPr="00453546">
        <w:rPr>
          <w:rFonts w:ascii="Times New Roman" w:hAnsi="Times New Roman" w:cs="Times New Roman"/>
          <w:iCs/>
          <w:sz w:val="24"/>
          <w:szCs w:val="24"/>
        </w:rPr>
        <w:t xml:space="preserve"> forests are historically </w:t>
      </w:r>
      <w:r w:rsidRPr="00453546">
        <w:rPr>
          <w:rFonts w:ascii="Times New Roman" w:hAnsi="Times New Roman" w:cs="Times New Roman"/>
          <w:iCs/>
          <w:sz w:val="24"/>
          <w:szCs w:val="24"/>
        </w:rPr>
        <w:lastRenderedPageBreak/>
        <w:t>recognized for its rich wildlife population.</w:t>
      </w:r>
      <w:r w:rsidRPr="00453546">
        <w:rPr>
          <w:rStyle w:val="FootnoteReference"/>
          <w:rFonts w:ascii="Times New Roman" w:hAnsi="Times New Roman" w:cs="Times New Roman"/>
          <w:iCs/>
          <w:sz w:val="24"/>
          <w:szCs w:val="24"/>
        </w:rPr>
        <w:footnoteReference w:id="70"/>
      </w:r>
      <w:r w:rsidRPr="00453546">
        <w:rPr>
          <w:rFonts w:ascii="Times New Roman" w:hAnsi="Times New Roman" w:cs="Times New Roman"/>
          <w:iCs/>
          <w:sz w:val="24"/>
          <w:szCs w:val="24"/>
        </w:rPr>
        <w:t xml:space="preserve">  Since 2004, this area has been designated as an Elephant Reserve by the state of Orissa. It contains elephants, </w:t>
      </w:r>
      <w:proofErr w:type="spellStart"/>
      <w:r w:rsidRPr="00453546">
        <w:rPr>
          <w:rFonts w:ascii="Times New Roman" w:hAnsi="Times New Roman" w:cs="Times New Roman"/>
          <w:iCs/>
          <w:sz w:val="24"/>
          <w:szCs w:val="24"/>
        </w:rPr>
        <w:t>sambars</w:t>
      </w:r>
      <w:proofErr w:type="spellEnd"/>
      <w:r w:rsidRPr="00453546">
        <w:rPr>
          <w:rFonts w:ascii="Times New Roman" w:hAnsi="Times New Roman" w:cs="Times New Roman"/>
          <w:iCs/>
          <w:sz w:val="24"/>
          <w:szCs w:val="24"/>
        </w:rPr>
        <w:t xml:space="preserve">, leopards, tigers, and various species of endemic birds and other endangered species of wildlife.  More than seventy-five percent of the hills are covered by thick primitive forests. The </w:t>
      </w:r>
      <w:proofErr w:type="spellStart"/>
      <w:r w:rsidRPr="00453546">
        <w:rPr>
          <w:rFonts w:ascii="Times New Roman" w:hAnsi="Times New Roman" w:cs="Times New Roman"/>
          <w:iCs/>
          <w:sz w:val="24"/>
          <w:szCs w:val="24"/>
        </w:rPr>
        <w:t>Niyamgiri</w:t>
      </w:r>
      <w:proofErr w:type="spellEnd"/>
      <w:r w:rsidRPr="00453546">
        <w:rPr>
          <w:rFonts w:ascii="Times New Roman" w:hAnsi="Times New Roman" w:cs="Times New Roman"/>
          <w:iCs/>
          <w:sz w:val="24"/>
          <w:szCs w:val="24"/>
        </w:rPr>
        <w:t xml:space="preserve"> forest has more than 300 plant species, including about 50 species of valuable medicinal plants; six of the plant species are listed in the IUCN Red Data Book.</w:t>
      </w:r>
      <w:r w:rsidRPr="00453546">
        <w:rPr>
          <w:rStyle w:val="FootnoteReference"/>
          <w:rFonts w:ascii="Times New Roman" w:hAnsi="Times New Roman" w:cs="Times New Roman"/>
          <w:iCs/>
          <w:sz w:val="24"/>
          <w:szCs w:val="24"/>
        </w:rPr>
        <w:footnoteReference w:id="71"/>
      </w:r>
      <w:r w:rsidRPr="00453546">
        <w:rPr>
          <w:rFonts w:ascii="Times New Roman" w:hAnsi="Times New Roman" w:cs="Times New Roman"/>
          <w:iCs/>
          <w:sz w:val="24"/>
          <w:szCs w:val="24"/>
        </w:rPr>
        <w:t xml:space="preserve"> But it is not the plants and the wildlife that are attracting outsiders. The </w:t>
      </w:r>
      <w:proofErr w:type="spellStart"/>
      <w:r w:rsidRPr="00453546">
        <w:rPr>
          <w:rFonts w:ascii="Times New Roman" w:hAnsi="Times New Roman" w:cs="Times New Roman"/>
          <w:iCs/>
          <w:sz w:val="24"/>
          <w:szCs w:val="24"/>
        </w:rPr>
        <w:t>Niyamgiri</w:t>
      </w:r>
      <w:proofErr w:type="spellEnd"/>
      <w:r w:rsidRPr="00453546">
        <w:rPr>
          <w:rFonts w:ascii="Times New Roman" w:hAnsi="Times New Roman" w:cs="Times New Roman"/>
          <w:iCs/>
          <w:sz w:val="24"/>
          <w:szCs w:val="24"/>
        </w:rPr>
        <w:t xml:space="preserve"> hills are also rich in bauxite—the raw material for producing Aluminum. And it was this inconvenient fact that brought British mining company Vedanta Resources to the </w:t>
      </w:r>
      <w:proofErr w:type="spellStart"/>
      <w:r w:rsidRPr="00453546">
        <w:rPr>
          <w:rFonts w:ascii="Times New Roman" w:hAnsi="Times New Roman" w:cs="Times New Roman"/>
          <w:iCs/>
          <w:sz w:val="24"/>
          <w:szCs w:val="24"/>
        </w:rPr>
        <w:t>Dongria</w:t>
      </w:r>
      <w:proofErr w:type="spellEnd"/>
      <w:r w:rsidRPr="00453546">
        <w:rPr>
          <w:rFonts w:ascii="Times New Roman" w:hAnsi="Times New Roman" w:cs="Times New Roman"/>
          <w:iCs/>
          <w:sz w:val="24"/>
          <w:szCs w:val="24"/>
        </w:rPr>
        <w:t xml:space="preserve"> </w:t>
      </w:r>
      <w:proofErr w:type="spellStart"/>
      <w:r w:rsidRPr="00453546">
        <w:rPr>
          <w:rFonts w:ascii="Times New Roman" w:hAnsi="Times New Roman" w:cs="Times New Roman"/>
          <w:iCs/>
          <w:sz w:val="24"/>
          <w:szCs w:val="24"/>
        </w:rPr>
        <w:t>Kondh</w:t>
      </w:r>
      <w:proofErr w:type="spellEnd"/>
      <w:r w:rsidRPr="00453546">
        <w:rPr>
          <w:rFonts w:ascii="Times New Roman" w:hAnsi="Times New Roman" w:cs="Times New Roman"/>
          <w:iCs/>
          <w:sz w:val="24"/>
          <w:szCs w:val="24"/>
        </w:rPr>
        <w:t xml:space="preserve"> homeland in 2003, where it made plans to open a large open-pit mine on top of the sacred </w:t>
      </w:r>
      <w:proofErr w:type="spellStart"/>
      <w:r w:rsidRPr="00453546">
        <w:rPr>
          <w:rFonts w:ascii="Times New Roman" w:hAnsi="Times New Roman" w:cs="Times New Roman"/>
          <w:iCs/>
          <w:sz w:val="24"/>
          <w:szCs w:val="24"/>
        </w:rPr>
        <w:t>Niyam</w:t>
      </w:r>
      <w:proofErr w:type="spellEnd"/>
      <w:r w:rsidRPr="00453546">
        <w:rPr>
          <w:rFonts w:ascii="Times New Roman" w:hAnsi="Times New Roman" w:cs="Times New Roman"/>
          <w:iCs/>
          <w:sz w:val="24"/>
          <w:szCs w:val="24"/>
        </w:rPr>
        <w:t xml:space="preserve"> </w:t>
      </w:r>
      <w:proofErr w:type="spellStart"/>
      <w:r w:rsidRPr="00453546">
        <w:rPr>
          <w:rFonts w:ascii="Times New Roman" w:hAnsi="Times New Roman" w:cs="Times New Roman"/>
          <w:iCs/>
          <w:sz w:val="24"/>
          <w:szCs w:val="24"/>
        </w:rPr>
        <w:t>Dongar</w:t>
      </w:r>
      <w:proofErr w:type="spellEnd"/>
      <w:r w:rsidRPr="00453546">
        <w:rPr>
          <w:rFonts w:ascii="Times New Roman" w:hAnsi="Times New Roman" w:cs="Times New Roman"/>
          <w:iCs/>
          <w:sz w:val="24"/>
          <w:szCs w:val="24"/>
        </w:rPr>
        <w:t xml:space="preserve"> Mountain. </w:t>
      </w:r>
    </w:p>
    <w:p w14:paraId="48300AE0" w14:textId="77777777" w:rsidR="00960A89" w:rsidRDefault="00960A89" w:rsidP="00122D3A">
      <w:pPr>
        <w:pStyle w:val="Quote"/>
        <w:ind w:left="720" w:right="720"/>
        <w:rPr>
          <w:rFonts w:cs="Times New Roman"/>
          <w:szCs w:val="24"/>
          <w:lang w:val="es-ES_tradnl"/>
        </w:rPr>
      </w:pPr>
    </w:p>
    <w:p w14:paraId="761E1FA5" w14:textId="77777777" w:rsidR="00122D3A" w:rsidRPr="00453546" w:rsidRDefault="00122D3A" w:rsidP="00122D3A">
      <w:pPr>
        <w:pStyle w:val="Quote"/>
        <w:ind w:left="720" w:right="720"/>
        <w:rPr>
          <w:rFonts w:cs="Times New Roman"/>
          <w:i w:val="0"/>
          <w:szCs w:val="24"/>
        </w:rPr>
      </w:pPr>
      <w:r w:rsidRPr="00453546">
        <w:rPr>
          <w:rFonts w:cs="Times New Roman"/>
          <w:szCs w:val="24"/>
          <w:lang w:val="es-ES_tradnl"/>
        </w:rPr>
        <w:t>“</w:t>
      </w:r>
      <w:r w:rsidRPr="00453546">
        <w:rPr>
          <w:rFonts w:cs="Times New Roman"/>
          <w:szCs w:val="24"/>
        </w:rPr>
        <w:t xml:space="preserve">Vedanta has come to destroy the </w:t>
      </w:r>
      <w:proofErr w:type="spellStart"/>
      <w:r w:rsidRPr="00453546">
        <w:rPr>
          <w:rFonts w:cs="Times New Roman"/>
          <w:szCs w:val="24"/>
        </w:rPr>
        <w:t>Dongria</w:t>
      </w:r>
      <w:proofErr w:type="spellEnd"/>
      <w:r w:rsidRPr="00453546">
        <w:rPr>
          <w:rFonts w:cs="Times New Roman"/>
          <w:szCs w:val="24"/>
        </w:rPr>
        <w:t xml:space="preserve"> </w:t>
      </w:r>
      <w:proofErr w:type="spellStart"/>
      <w:r w:rsidRPr="00453546">
        <w:rPr>
          <w:rFonts w:cs="Times New Roman"/>
          <w:szCs w:val="24"/>
        </w:rPr>
        <w:t>Kondh</w:t>
      </w:r>
      <w:proofErr w:type="spellEnd"/>
      <w:r w:rsidRPr="00453546">
        <w:rPr>
          <w:rFonts w:cs="Times New Roman"/>
          <w:szCs w:val="24"/>
        </w:rPr>
        <w:t xml:space="preserve"> and the </w:t>
      </w:r>
      <w:proofErr w:type="spellStart"/>
      <w:r w:rsidRPr="00453546">
        <w:rPr>
          <w:rFonts w:cs="Times New Roman"/>
          <w:szCs w:val="24"/>
        </w:rPr>
        <w:t>Niyamgiri</w:t>
      </w:r>
      <w:proofErr w:type="spellEnd"/>
      <w:r w:rsidRPr="00453546">
        <w:rPr>
          <w:rFonts w:cs="Times New Roman"/>
          <w:szCs w:val="24"/>
        </w:rPr>
        <w:t xml:space="preserve"> mountains, so all </w:t>
      </w:r>
      <w:proofErr w:type="spellStart"/>
      <w:r w:rsidRPr="00453546">
        <w:rPr>
          <w:rFonts w:cs="Times New Roman"/>
          <w:szCs w:val="24"/>
        </w:rPr>
        <w:t>Dongrias</w:t>
      </w:r>
      <w:proofErr w:type="spellEnd"/>
      <w:r w:rsidRPr="00453546">
        <w:rPr>
          <w:rFonts w:cs="Times New Roman"/>
          <w:szCs w:val="24"/>
        </w:rPr>
        <w:t xml:space="preserve"> and our supporters have got together to drive Vedanta out of this place.”</w:t>
      </w:r>
      <w:r w:rsidRPr="00453546">
        <w:rPr>
          <w:rStyle w:val="FootnoteReference"/>
          <w:rFonts w:cs="Times New Roman"/>
          <w:szCs w:val="24"/>
        </w:rPr>
        <w:footnoteReference w:id="72"/>
      </w:r>
    </w:p>
    <w:p w14:paraId="7CB0E8D6" w14:textId="77777777" w:rsidR="00122D3A" w:rsidRPr="00453546" w:rsidRDefault="00122D3A" w:rsidP="00122D3A">
      <w:pPr>
        <w:jc w:val="both"/>
        <w:rPr>
          <w:rFonts w:ascii="Times New Roman" w:hAnsi="Times New Roman" w:cs="Times New Roman"/>
          <w:sz w:val="24"/>
          <w:szCs w:val="24"/>
        </w:rPr>
      </w:pPr>
      <w:r w:rsidRPr="00453546">
        <w:rPr>
          <w:rFonts w:ascii="Times New Roman" w:hAnsi="Times New Roman" w:cs="Times New Roman"/>
          <w:sz w:val="24"/>
          <w:szCs w:val="24"/>
          <w:lang w:val="es-ES_tradnl"/>
        </w:rPr>
        <w:t xml:space="preserve">Vedanta </w:t>
      </w:r>
      <w:r w:rsidRPr="00453546">
        <w:rPr>
          <w:rFonts w:ascii="Times New Roman" w:hAnsi="Times New Roman" w:cs="Times New Roman"/>
          <w:sz w:val="24"/>
          <w:szCs w:val="24"/>
        </w:rPr>
        <w:t>Resources</w:t>
      </w:r>
      <w:r w:rsidRPr="00453546">
        <w:rPr>
          <w:rFonts w:ascii="Times New Roman" w:hAnsi="Times New Roman" w:cs="Times New Roman"/>
          <w:sz w:val="24"/>
          <w:szCs w:val="24"/>
          <w:lang w:val="es-ES_tradnl"/>
        </w:rPr>
        <w:t xml:space="preserve"> </w:t>
      </w:r>
      <w:r w:rsidRPr="00453546">
        <w:rPr>
          <w:rFonts w:ascii="Times New Roman" w:hAnsi="Times New Roman" w:cs="Times New Roman"/>
          <w:sz w:val="24"/>
          <w:szCs w:val="24"/>
        </w:rPr>
        <w:t>Plc. is a British metals and mining corporation founded and owned by Indian business magnate and billionaire Anil Agarwal.</w:t>
      </w:r>
      <w:r w:rsidRPr="00453546">
        <w:rPr>
          <w:rStyle w:val="FootnoteReference"/>
          <w:rFonts w:ascii="Times New Roman" w:hAnsi="Times New Roman" w:cs="Times New Roman"/>
          <w:sz w:val="24"/>
          <w:szCs w:val="24"/>
        </w:rPr>
        <w:footnoteReference w:id="73"/>
      </w:r>
      <w:r w:rsidRPr="00453546">
        <w:rPr>
          <w:rFonts w:ascii="Times New Roman" w:hAnsi="Times New Roman" w:cs="Times New Roman"/>
          <w:sz w:val="24"/>
          <w:szCs w:val="24"/>
        </w:rPr>
        <w:t xml:space="preserve"> Vedanta is primarily engaged in copper, zinc, silver, aluminum, iron ore mining and refining, as well as power generating business. Although headquartered in London, Vedanta is a large multinational conglomerate with most of its assets and operations located in the high growth markets of India, Zambia, Namibia, South Africa, Liberia, Ireland and Australia. </w:t>
      </w:r>
    </w:p>
    <w:p w14:paraId="29E1492A" w14:textId="77777777" w:rsidR="00D16522" w:rsidRPr="00453546" w:rsidRDefault="00D16522" w:rsidP="00122D3A">
      <w:pPr>
        <w:jc w:val="both"/>
        <w:rPr>
          <w:rFonts w:ascii="Times New Roman" w:hAnsi="Times New Roman" w:cs="Times New Roman"/>
          <w:sz w:val="24"/>
          <w:szCs w:val="24"/>
        </w:rPr>
      </w:pPr>
    </w:p>
    <w:p w14:paraId="42C087A1" w14:textId="77777777" w:rsidR="00122D3A" w:rsidRPr="00453546" w:rsidRDefault="00122D3A" w:rsidP="00122D3A">
      <w:pPr>
        <w:jc w:val="both"/>
        <w:rPr>
          <w:rFonts w:ascii="Times New Roman" w:hAnsi="Times New Roman" w:cs="Times New Roman"/>
          <w:sz w:val="24"/>
          <w:szCs w:val="24"/>
        </w:rPr>
      </w:pPr>
      <w:r w:rsidRPr="00453546">
        <w:rPr>
          <w:rFonts w:ascii="Times New Roman" w:hAnsi="Times New Roman" w:cs="Times New Roman"/>
          <w:sz w:val="24"/>
          <w:szCs w:val="24"/>
        </w:rPr>
        <w:t>In recent years, Vedanta Resources has come under growing international scrutiny. The company’s safety record was questionable and has generated much public outcry. It included reports of 1,247 injuries and 26 deaths in 2007.</w:t>
      </w:r>
      <w:r w:rsidRPr="00453546">
        <w:rPr>
          <w:rStyle w:val="FootnoteReference"/>
          <w:rFonts w:ascii="Times New Roman" w:hAnsi="Times New Roman" w:cs="Times New Roman"/>
          <w:sz w:val="24"/>
          <w:szCs w:val="24"/>
        </w:rPr>
        <w:t xml:space="preserve"> </w:t>
      </w:r>
      <w:r w:rsidRPr="00453546">
        <w:rPr>
          <w:rStyle w:val="FootnoteReference"/>
          <w:rFonts w:ascii="Times New Roman" w:hAnsi="Times New Roman" w:cs="Times New Roman"/>
          <w:sz w:val="24"/>
          <w:szCs w:val="24"/>
        </w:rPr>
        <w:footnoteReference w:id="74"/>
      </w:r>
      <w:r w:rsidRPr="00453546">
        <w:rPr>
          <w:rFonts w:ascii="Times New Roman" w:hAnsi="Times New Roman" w:cs="Times New Roman"/>
          <w:sz w:val="24"/>
          <w:szCs w:val="24"/>
        </w:rPr>
        <w:t xml:space="preserve"> According to an analysis of deaths of workers at FTSE 100 mining companies during the year 2009</w:t>
      </w:r>
      <w:r w:rsidRPr="00453546">
        <w:rPr>
          <w:rFonts w:ascii="Times New Roman" w:hAnsi="Times New Roman" w:cs="Times New Roman"/>
          <w:i/>
          <w:sz w:val="24"/>
          <w:szCs w:val="24"/>
        </w:rPr>
        <w:t xml:space="preserve">, </w:t>
      </w:r>
      <w:r w:rsidRPr="00453546">
        <w:rPr>
          <w:rFonts w:ascii="Times New Roman" w:hAnsi="Times New Roman" w:cs="Times New Roman"/>
          <w:sz w:val="24"/>
          <w:szCs w:val="24"/>
        </w:rPr>
        <w:t>Vedanta had the highest death toll among all 12 London-listed firms.</w:t>
      </w:r>
      <w:r w:rsidRPr="00453546">
        <w:rPr>
          <w:rStyle w:val="FootnoteReference"/>
          <w:rFonts w:ascii="Times New Roman" w:hAnsi="Times New Roman" w:cs="Times New Roman"/>
          <w:sz w:val="24"/>
          <w:szCs w:val="24"/>
        </w:rPr>
        <w:footnoteReference w:id="75"/>
      </w:r>
      <w:r w:rsidRPr="00453546">
        <w:rPr>
          <w:rFonts w:ascii="Times New Roman" w:hAnsi="Times New Roman" w:cs="Times New Roman"/>
          <w:sz w:val="24"/>
          <w:szCs w:val="24"/>
        </w:rPr>
        <w:t xml:space="preserve"> In April, 2009, a construction accident at a Vedanta power plant in </w:t>
      </w:r>
      <w:proofErr w:type="spellStart"/>
      <w:r w:rsidRPr="00453546">
        <w:rPr>
          <w:rFonts w:ascii="Times New Roman" w:hAnsi="Times New Roman" w:cs="Times New Roman"/>
          <w:sz w:val="24"/>
          <w:szCs w:val="24"/>
        </w:rPr>
        <w:lastRenderedPageBreak/>
        <w:t>Korba</w:t>
      </w:r>
      <w:proofErr w:type="spellEnd"/>
      <w:r w:rsidRPr="00453546">
        <w:rPr>
          <w:rFonts w:ascii="Times New Roman" w:hAnsi="Times New Roman" w:cs="Times New Roman"/>
          <w:sz w:val="24"/>
          <w:szCs w:val="24"/>
        </w:rPr>
        <w:t>, India caused at least 40 deaths.</w:t>
      </w:r>
      <w:r w:rsidRPr="00453546">
        <w:rPr>
          <w:rStyle w:val="FootnoteReference"/>
          <w:rFonts w:ascii="Times New Roman" w:hAnsi="Times New Roman" w:cs="Times New Roman"/>
          <w:sz w:val="24"/>
          <w:szCs w:val="24"/>
        </w:rPr>
        <w:footnoteReference w:id="76"/>
      </w:r>
      <w:r w:rsidRPr="00453546">
        <w:rPr>
          <w:rFonts w:ascii="Times New Roman" w:hAnsi="Times New Roman" w:cs="Times New Roman"/>
          <w:sz w:val="24"/>
          <w:szCs w:val="24"/>
        </w:rPr>
        <w:t xml:space="preserve"> Vedanta is also criticized of having caused environmental damage and contributed to human rights violations, especially with respect to socio-economic and cultural rights.</w:t>
      </w:r>
      <w:r w:rsidRPr="00453546">
        <w:rPr>
          <w:rStyle w:val="FootnoteReference"/>
          <w:rFonts w:ascii="Times New Roman" w:hAnsi="Times New Roman" w:cs="Times New Roman"/>
          <w:sz w:val="24"/>
          <w:szCs w:val="24"/>
        </w:rPr>
        <w:footnoteReference w:id="77"/>
      </w:r>
      <w:r w:rsidRPr="00453546">
        <w:rPr>
          <w:rFonts w:ascii="Times New Roman" w:hAnsi="Times New Roman" w:cs="Times New Roman"/>
          <w:sz w:val="24"/>
          <w:szCs w:val="24"/>
        </w:rPr>
        <w:t xml:space="preserve"> Accusations include repeated breaches of national environmental legislation, illegal production expansions, irresponsible handling of hazardous waste, deplorable wages and hazardous working conditions, and involvement in bribery and corruption.</w:t>
      </w:r>
      <w:r w:rsidRPr="00453546">
        <w:rPr>
          <w:rStyle w:val="FootnoteReference"/>
          <w:rFonts w:ascii="Times New Roman" w:hAnsi="Times New Roman" w:cs="Times New Roman"/>
          <w:sz w:val="24"/>
          <w:szCs w:val="24"/>
        </w:rPr>
        <w:footnoteReference w:id="78"/>
      </w:r>
    </w:p>
    <w:p w14:paraId="6F200E3E" w14:textId="77777777" w:rsidR="00D16522" w:rsidRPr="00453546" w:rsidRDefault="00D16522" w:rsidP="00122D3A">
      <w:pPr>
        <w:jc w:val="both"/>
        <w:rPr>
          <w:rFonts w:ascii="Times New Roman" w:hAnsi="Times New Roman" w:cs="Times New Roman"/>
          <w:sz w:val="24"/>
          <w:szCs w:val="24"/>
        </w:rPr>
      </w:pPr>
    </w:p>
    <w:p w14:paraId="3BCF49CC" w14:textId="77777777" w:rsidR="00122D3A" w:rsidRPr="00453546" w:rsidRDefault="00122D3A" w:rsidP="00122D3A">
      <w:pPr>
        <w:jc w:val="both"/>
        <w:rPr>
          <w:rFonts w:ascii="Times New Roman" w:hAnsi="Times New Roman" w:cs="Times New Roman"/>
          <w:sz w:val="24"/>
          <w:szCs w:val="24"/>
        </w:rPr>
      </w:pPr>
      <w:r w:rsidRPr="00453546">
        <w:rPr>
          <w:rFonts w:ascii="Times New Roman" w:hAnsi="Times New Roman" w:cs="Times New Roman"/>
          <w:sz w:val="24"/>
          <w:szCs w:val="24"/>
        </w:rPr>
        <w:t xml:space="preserve">In October, 2003, one of Vedanta’s subsidiaries, Orissa Mining Corporation (OMC) signed a Memorandum of Understanding with the Orissa state government regarding the establishment of a joint venture company for bauxite mining from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 xml:space="preserve"> hills. Included in the plan is establishment of a large open-pit mine </w:t>
      </w:r>
      <w:r w:rsidRPr="00453546">
        <w:rPr>
          <w:rFonts w:ascii="Times New Roman" w:hAnsi="Times New Roman" w:cs="Times New Roman"/>
          <w:iCs/>
          <w:sz w:val="24"/>
          <w:szCs w:val="24"/>
        </w:rPr>
        <w:t xml:space="preserve">on top of the sacred </w:t>
      </w:r>
      <w:proofErr w:type="spellStart"/>
      <w:r w:rsidRPr="00453546">
        <w:rPr>
          <w:rFonts w:ascii="Times New Roman" w:hAnsi="Times New Roman" w:cs="Times New Roman"/>
          <w:iCs/>
          <w:sz w:val="24"/>
          <w:szCs w:val="24"/>
        </w:rPr>
        <w:t>Niyam</w:t>
      </w:r>
      <w:proofErr w:type="spellEnd"/>
      <w:r w:rsidRPr="00453546">
        <w:rPr>
          <w:rFonts w:ascii="Times New Roman" w:hAnsi="Times New Roman" w:cs="Times New Roman"/>
          <w:iCs/>
          <w:sz w:val="24"/>
          <w:szCs w:val="24"/>
        </w:rPr>
        <w:t xml:space="preserve"> </w:t>
      </w:r>
      <w:proofErr w:type="spellStart"/>
      <w:r w:rsidRPr="00453546">
        <w:rPr>
          <w:rFonts w:ascii="Times New Roman" w:hAnsi="Times New Roman" w:cs="Times New Roman"/>
          <w:iCs/>
          <w:sz w:val="24"/>
          <w:szCs w:val="24"/>
        </w:rPr>
        <w:t>Dongar</w:t>
      </w:r>
      <w:proofErr w:type="spellEnd"/>
      <w:r w:rsidRPr="00453546">
        <w:rPr>
          <w:rFonts w:ascii="Times New Roman" w:hAnsi="Times New Roman" w:cs="Times New Roman"/>
          <w:iCs/>
          <w:sz w:val="24"/>
          <w:szCs w:val="24"/>
        </w:rPr>
        <w:t xml:space="preserve"> Mountain, in order to extract more than two billion USD worth of bauxite deposit inside that mountain. </w:t>
      </w:r>
      <w:r w:rsidRPr="00453546">
        <w:rPr>
          <w:rFonts w:ascii="Times New Roman" w:hAnsi="Times New Roman" w:cs="Times New Roman"/>
          <w:sz w:val="24"/>
          <w:szCs w:val="24"/>
        </w:rPr>
        <w:t xml:space="preserve">Vedanta also indicated its plans to construct a bauxite refinery for alumina production and a coal-based power plant in </w:t>
      </w:r>
      <w:proofErr w:type="spellStart"/>
      <w:r w:rsidRPr="00453546">
        <w:rPr>
          <w:rFonts w:ascii="Times New Roman" w:hAnsi="Times New Roman" w:cs="Times New Roman"/>
          <w:sz w:val="24"/>
          <w:szCs w:val="24"/>
        </w:rPr>
        <w:t>Lanjigarh</w:t>
      </w:r>
      <w:proofErr w:type="spellEnd"/>
      <w:r w:rsidRPr="00453546">
        <w:rPr>
          <w:rFonts w:ascii="Times New Roman" w:hAnsi="Times New Roman" w:cs="Times New Roman"/>
          <w:sz w:val="24"/>
          <w:szCs w:val="24"/>
        </w:rPr>
        <w:t xml:space="preserve"> on the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 xml:space="preserve"> foothills.</w:t>
      </w:r>
      <w:r w:rsidRPr="00453546">
        <w:rPr>
          <w:rStyle w:val="FootnoteReference"/>
          <w:rFonts w:ascii="Times New Roman" w:hAnsi="Times New Roman" w:cs="Times New Roman"/>
          <w:sz w:val="24"/>
          <w:szCs w:val="24"/>
        </w:rPr>
        <w:footnoteReference w:id="79"/>
      </w:r>
      <w:r w:rsidRPr="00453546">
        <w:rPr>
          <w:rFonts w:ascii="Times New Roman" w:hAnsi="Times New Roman" w:cs="Times New Roman"/>
          <w:sz w:val="24"/>
          <w:szCs w:val="24"/>
        </w:rPr>
        <w:t xml:space="preserve"> </w:t>
      </w:r>
    </w:p>
    <w:p w14:paraId="1A4EF8E5" w14:textId="77777777" w:rsidR="00122D3A" w:rsidRPr="00453546" w:rsidRDefault="00122D3A" w:rsidP="00122D3A">
      <w:pPr>
        <w:jc w:val="both"/>
        <w:rPr>
          <w:rFonts w:ascii="Times New Roman" w:hAnsi="Times New Roman" w:cs="Times New Roman"/>
          <w:sz w:val="24"/>
          <w:szCs w:val="24"/>
        </w:rPr>
      </w:pPr>
      <w:r w:rsidRPr="00453546">
        <w:rPr>
          <w:rFonts w:ascii="Times New Roman" w:hAnsi="Times New Roman" w:cs="Times New Roman"/>
          <w:sz w:val="24"/>
          <w:szCs w:val="24"/>
        </w:rPr>
        <w:t>In 2004, an Indian human rights organization, Peoples Union for Civil Liberties</w:t>
      </w:r>
      <w:r w:rsidRPr="00453546">
        <w:rPr>
          <w:rStyle w:val="FootnoteReference"/>
          <w:rFonts w:ascii="Times New Roman" w:hAnsi="Times New Roman" w:cs="Times New Roman"/>
          <w:sz w:val="24"/>
          <w:szCs w:val="24"/>
        </w:rPr>
        <w:footnoteReference w:id="80"/>
      </w:r>
      <w:r w:rsidRPr="00453546">
        <w:rPr>
          <w:rFonts w:ascii="Times New Roman" w:hAnsi="Times New Roman" w:cs="Times New Roman"/>
          <w:sz w:val="24"/>
          <w:szCs w:val="24"/>
        </w:rPr>
        <w:t xml:space="preserve"> filed a public interest suit against Vedanta to the Indian Supreme Court sub-committee Central Empowered Committee (CEC), raising concerns regarding the potential environmental impact of the proposed mining project. Subsequent CEC investigations have found inadequate environmental clearance for the alumina refinery project,</w:t>
      </w:r>
      <w:r w:rsidRPr="00453546">
        <w:rPr>
          <w:rStyle w:val="FootnoteReference"/>
          <w:rFonts w:ascii="Times New Roman" w:hAnsi="Times New Roman" w:cs="Times New Roman"/>
          <w:sz w:val="24"/>
          <w:szCs w:val="24"/>
        </w:rPr>
        <w:footnoteReference w:id="81"/>
      </w:r>
      <w:r w:rsidRPr="00453546">
        <w:rPr>
          <w:rFonts w:ascii="Times New Roman" w:hAnsi="Times New Roman" w:cs="Times New Roman"/>
          <w:sz w:val="24"/>
          <w:szCs w:val="24"/>
        </w:rPr>
        <w:t xml:space="preserve"> as well as evidence of forcible eviction of local inhabitants of the proposed project site.</w:t>
      </w:r>
      <w:r w:rsidRPr="00453546">
        <w:rPr>
          <w:rStyle w:val="FootnoteReference"/>
          <w:rFonts w:ascii="Times New Roman" w:hAnsi="Times New Roman" w:cs="Times New Roman"/>
          <w:sz w:val="24"/>
          <w:szCs w:val="24"/>
        </w:rPr>
        <w:footnoteReference w:id="82"/>
      </w:r>
      <w:r w:rsidRPr="00453546">
        <w:rPr>
          <w:rFonts w:ascii="Times New Roman" w:hAnsi="Times New Roman" w:cs="Times New Roman"/>
          <w:sz w:val="24"/>
          <w:szCs w:val="24"/>
        </w:rPr>
        <w:t xml:space="preserve"> According to the CEC Report, members of the </w:t>
      </w:r>
      <w:proofErr w:type="spellStart"/>
      <w:r w:rsidRPr="00453546">
        <w:rPr>
          <w:rFonts w:ascii="Times New Roman" w:hAnsi="Times New Roman" w:cs="Times New Roman"/>
          <w:sz w:val="24"/>
          <w:szCs w:val="24"/>
        </w:rPr>
        <w:t>Dongria</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Kondh</w:t>
      </w:r>
      <w:proofErr w:type="spellEnd"/>
      <w:r w:rsidRPr="00453546">
        <w:rPr>
          <w:rFonts w:ascii="Times New Roman" w:hAnsi="Times New Roman" w:cs="Times New Roman"/>
          <w:sz w:val="24"/>
          <w:szCs w:val="24"/>
        </w:rPr>
        <w:t xml:space="preserve"> tribe have been displaced from their houses through physical eviction by Vedanta employees, with the help of local government in preparation for the mining project: </w:t>
      </w:r>
    </w:p>
    <w:p w14:paraId="62AF1E3D" w14:textId="77777777" w:rsidR="00122D3A" w:rsidRPr="00453546" w:rsidRDefault="00122D3A" w:rsidP="00122D3A">
      <w:pPr>
        <w:spacing w:line="240" w:lineRule="auto"/>
        <w:ind w:left="720" w:right="720"/>
        <w:jc w:val="both"/>
        <w:rPr>
          <w:rFonts w:ascii="Times New Roman" w:hAnsi="Times New Roman" w:cs="Times New Roman"/>
          <w:sz w:val="24"/>
          <w:szCs w:val="24"/>
        </w:rPr>
      </w:pPr>
      <w:r w:rsidRPr="00453546">
        <w:rPr>
          <w:rFonts w:ascii="Times New Roman" w:hAnsi="Times New Roman" w:cs="Times New Roman"/>
          <w:sz w:val="24"/>
          <w:szCs w:val="24"/>
        </w:rPr>
        <w:t xml:space="preserve">“Many were beaten up by the employees of M/s Vedanta.  The National R&amp;R policy requires that land for land should be given after due process of consultation, particularly in the case of the </w:t>
      </w:r>
      <w:proofErr w:type="spellStart"/>
      <w:r w:rsidRPr="00453546">
        <w:rPr>
          <w:rFonts w:ascii="Times New Roman" w:hAnsi="Times New Roman" w:cs="Times New Roman"/>
          <w:sz w:val="24"/>
          <w:szCs w:val="24"/>
        </w:rPr>
        <w:t>tribals</w:t>
      </w:r>
      <w:proofErr w:type="spellEnd"/>
      <w:r w:rsidRPr="00453546">
        <w:rPr>
          <w:rFonts w:ascii="Times New Roman" w:hAnsi="Times New Roman" w:cs="Times New Roman"/>
          <w:sz w:val="24"/>
          <w:szCs w:val="24"/>
        </w:rPr>
        <w:t xml:space="preserve">.  Contrary to the above cash compensation was offered to them and which was not acceptable to many.  The </w:t>
      </w:r>
      <w:r w:rsidRPr="00453546">
        <w:rPr>
          <w:rFonts w:ascii="Times New Roman" w:hAnsi="Times New Roman" w:cs="Times New Roman"/>
          <w:sz w:val="24"/>
          <w:szCs w:val="24"/>
        </w:rPr>
        <w:lastRenderedPageBreak/>
        <w:t xml:space="preserve">tribal people living on the plant site are mainly </w:t>
      </w:r>
      <w:proofErr w:type="spellStart"/>
      <w:r w:rsidRPr="00453546">
        <w:rPr>
          <w:rFonts w:ascii="Times New Roman" w:hAnsi="Times New Roman" w:cs="Times New Roman"/>
          <w:sz w:val="24"/>
          <w:szCs w:val="24"/>
        </w:rPr>
        <w:t>Kondhs</w:t>
      </w:r>
      <w:proofErr w:type="spellEnd"/>
      <w:r w:rsidRPr="00453546">
        <w:rPr>
          <w:rFonts w:ascii="Times New Roman" w:hAnsi="Times New Roman" w:cs="Times New Roman"/>
          <w:sz w:val="24"/>
          <w:szCs w:val="24"/>
        </w:rPr>
        <w:t xml:space="preserve"> who are illiterate and depend completely on their agricultural lands and forest for their subsistence…”</w:t>
      </w:r>
      <w:r w:rsidRPr="00453546">
        <w:rPr>
          <w:rStyle w:val="FootnoteReference"/>
          <w:rFonts w:ascii="Times New Roman" w:hAnsi="Times New Roman" w:cs="Times New Roman"/>
          <w:sz w:val="24"/>
          <w:szCs w:val="24"/>
        </w:rPr>
        <w:footnoteReference w:id="83"/>
      </w:r>
    </w:p>
    <w:p w14:paraId="7327FB13" w14:textId="77777777" w:rsidR="0078674D" w:rsidRPr="00453546" w:rsidRDefault="0078674D" w:rsidP="00122D3A">
      <w:pPr>
        <w:jc w:val="both"/>
        <w:rPr>
          <w:rFonts w:ascii="Times New Roman" w:eastAsiaTheme="minorEastAsia" w:hAnsi="Times New Roman" w:cs="Times New Roman"/>
          <w:sz w:val="24"/>
          <w:szCs w:val="24"/>
          <w:lang w:eastAsia="zh-CN"/>
        </w:rPr>
      </w:pPr>
    </w:p>
    <w:p w14:paraId="5FD7FDD6" w14:textId="77777777" w:rsidR="00122D3A" w:rsidRPr="00453546" w:rsidRDefault="00122D3A" w:rsidP="00122D3A">
      <w:pPr>
        <w:jc w:val="both"/>
        <w:rPr>
          <w:rFonts w:ascii="Times New Roman" w:hAnsi="Times New Roman" w:cs="Times New Roman"/>
          <w:sz w:val="24"/>
          <w:szCs w:val="24"/>
        </w:rPr>
      </w:pPr>
      <w:r w:rsidRPr="00453546">
        <w:rPr>
          <w:rFonts w:ascii="Times New Roman" w:hAnsi="Times New Roman" w:cs="Times New Roman"/>
          <w:sz w:val="24"/>
          <w:szCs w:val="24"/>
        </w:rPr>
        <w:t xml:space="preserve">The 2005 CEC Report provided shocking revelations on the mistreatment </w:t>
      </w:r>
      <w:proofErr w:type="spellStart"/>
      <w:r w:rsidRPr="00453546">
        <w:rPr>
          <w:rFonts w:ascii="Times New Roman" w:hAnsi="Times New Roman" w:cs="Times New Roman"/>
          <w:sz w:val="24"/>
          <w:szCs w:val="24"/>
        </w:rPr>
        <w:t>Dongria</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Kondh</w:t>
      </w:r>
      <w:proofErr w:type="spellEnd"/>
      <w:r w:rsidRPr="00453546">
        <w:rPr>
          <w:rFonts w:ascii="Times New Roman" w:hAnsi="Times New Roman" w:cs="Times New Roman"/>
          <w:sz w:val="24"/>
          <w:szCs w:val="24"/>
        </w:rPr>
        <w:t xml:space="preserve"> people by Vedanta and local authorities, and shed the first public light on the collective struggle by </w:t>
      </w:r>
      <w:proofErr w:type="spellStart"/>
      <w:r w:rsidRPr="00453546">
        <w:rPr>
          <w:rFonts w:ascii="Times New Roman" w:hAnsi="Times New Roman" w:cs="Times New Roman"/>
          <w:sz w:val="24"/>
          <w:szCs w:val="24"/>
        </w:rPr>
        <w:t>Dongrias</w:t>
      </w:r>
      <w:proofErr w:type="spellEnd"/>
      <w:r w:rsidRPr="00453546">
        <w:rPr>
          <w:rFonts w:ascii="Times New Roman" w:hAnsi="Times New Roman" w:cs="Times New Roman"/>
          <w:sz w:val="24"/>
          <w:szCs w:val="24"/>
        </w:rPr>
        <w:t xml:space="preserve"> against the proposed bauxite mine:</w:t>
      </w:r>
    </w:p>
    <w:p w14:paraId="7C31F758" w14:textId="77777777" w:rsidR="0078674D" w:rsidRPr="00453546" w:rsidRDefault="0078674D" w:rsidP="00122D3A">
      <w:pPr>
        <w:spacing w:line="240" w:lineRule="auto"/>
        <w:ind w:left="720" w:right="720"/>
        <w:jc w:val="both"/>
        <w:rPr>
          <w:rFonts w:ascii="Times New Roman" w:eastAsiaTheme="minorEastAsia" w:hAnsi="Times New Roman" w:cs="Times New Roman"/>
          <w:sz w:val="24"/>
          <w:szCs w:val="24"/>
          <w:lang w:eastAsia="zh-CN"/>
        </w:rPr>
      </w:pPr>
    </w:p>
    <w:p w14:paraId="23EAEDCC" w14:textId="77777777" w:rsidR="00122D3A" w:rsidRPr="00453546" w:rsidRDefault="00122D3A" w:rsidP="0078674D">
      <w:pPr>
        <w:spacing w:line="240" w:lineRule="auto"/>
        <w:ind w:left="720" w:right="720"/>
        <w:jc w:val="both"/>
        <w:rPr>
          <w:rFonts w:ascii="Times New Roman" w:eastAsiaTheme="minorEastAsia" w:hAnsi="Times New Roman" w:cs="Times New Roman"/>
          <w:sz w:val="24"/>
          <w:szCs w:val="24"/>
          <w:lang w:eastAsia="zh-CN"/>
        </w:rPr>
      </w:pPr>
      <w:r w:rsidRPr="00453546">
        <w:rPr>
          <w:rFonts w:ascii="Times New Roman" w:hAnsi="Times New Roman" w:cs="Times New Roman"/>
          <w:sz w:val="24"/>
          <w:szCs w:val="24"/>
        </w:rPr>
        <w:t xml:space="preserve">“… [T]hey (the </w:t>
      </w:r>
      <w:proofErr w:type="spellStart"/>
      <w:r w:rsidRPr="00453546">
        <w:rPr>
          <w:rFonts w:ascii="Times New Roman" w:hAnsi="Times New Roman" w:cs="Times New Roman"/>
          <w:sz w:val="24"/>
          <w:szCs w:val="24"/>
        </w:rPr>
        <w:t>Dongrias</w:t>
      </w:r>
      <w:proofErr w:type="spellEnd"/>
      <w:r w:rsidRPr="00453546">
        <w:rPr>
          <w:rFonts w:ascii="Times New Roman" w:hAnsi="Times New Roman" w:cs="Times New Roman"/>
          <w:sz w:val="24"/>
          <w:szCs w:val="24"/>
        </w:rPr>
        <w:t xml:space="preserve">) have deep spiritual and cultural attachment to their ancestral lands and settlements. The displacement was opposed vehemently by them despite being offered large cash compensation by M/s Vedanta.  In the face of resistance, the District Collector and the company officials collaborated to coerce and threaten them… An atmosphere of fear was created through the hired goons, the police and the administration. Many of the </w:t>
      </w:r>
      <w:proofErr w:type="spellStart"/>
      <w:r w:rsidRPr="00453546">
        <w:rPr>
          <w:rFonts w:ascii="Times New Roman" w:hAnsi="Times New Roman" w:cs="Times New Roman"/>
          <w:sz w:val="24"/>
          <w:szCs w:val="24"/>
        </w:rPr>
        <w:t>tribals</w:t>
      </w:r>
      <w:proofErr w:type="spellEnd"/>
      <w:r w:rsidRPr="00453546">
        <w:rPr>
          <w:rFonts w:ascii="Times New Roman" w:hAnsi="Times New Roman" w:cs="Times New Roman"/>
          <w:sz w:val="24"/>
          <w:szCs w:val="24"/>
        </w:rPr>
        <w:t xml:space="preserve"> were badly beaten up by the police and the goons.  After being forcibly removed they were kept under watch and ward by the armed guards of M/s Vedanta and no outsider was allowed to meet them.  They were effectively being kept as prisoners....”</w:t>
      </w:r>
      <w:r w:rsidRPr="00453546">
        <w:rPr>
          <w:rStyle w:val="FootnoteReference"/>
          <w:rFonts w:ascii="Times New Roman" w:hAnsi="Times New Roman" w:cs="Times New Roman"/>
          <w:sz w:val="24"/>
          <w:szCs w:val="24"/>
        </w:rPr>
        <w:footnoteReference w:id="84"/>
      </w:r>
    </w:p>
    <w:p w14:paraId="06B16449" w14:textId="77777777" w:rsidR="0078674D" w:rsidRPr="00453546" w:rsidRDefault="0078674D" w:rsidP="0078674D">
      <w:pPr>
        <w:spacing w:line="240" w:lineRule="auto"/>
        <w:ind w:left="720" w:right="720"/>
        <w:jc w:val="both"/>
        <w:rPr>
          <w:rFonts w:ascii="Times New Roman" w:eastAsiaTheme="minorEastAsia" w:hAnsi="Times New Roman" w:cs="Times New Roman"/>
          <w:sz w:val="24"/>
          <w:szCs w:val="24"/>
          <w:lang w:eastAsia="zh-CN"/>
        </w:rPr>
      </w:pPr>
    </w:p>
    <w:p w14:paraId="5E60E855" w14:textId="77777777" w:rsidR="00122D3A" w:rsidRPr="00453546" w:rsidRDefault="00122D3A" w:rsidP="00122D3A">
      <w:pPr>
        <w:jc w:val="both"/>
        <w:rPr>
          <w:rFonts w:ascii="Times New Roman" w:hAnsi="Times New Roman" w:cs="Times New Roman"/>
          <w:sz w:val="24"/>
          <w:szCs w:val="24"/>
        </w:rPr>
      </w:pPr>
      <w:r w:rsidRPr="00453546">
        <w:rPr>
          <w:rFonts w:ascii="Times New Roman" w:hAnsi="Times New Roman" w:cs="Times New Roman"/>
          <w:sz w:val="24"/>
          <w:szCs w:val="24"/>
        </w:rPr>
        <w:lastRenderedPageBreak/>
        <w:t xml:space="preserve">The CEC recommends that mining in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 xml:space="preserve"> should not be allowed, and that were it not for administrative peculiarities the refinery may never have been allowed to be built.</w:t>
      </w:r>
      <w:r w:rsidRPr="00453546">
        <w:rPr>
          <w:rFonts w:ascii="Times New Roman" w:hAnsi="Times New Roman" w:cs="Times New Roman"/>
          <w:sz w:val="24"/>
          <w:szCs w:val="24"/>
          <w:vertAlign w:val="superscript"/>
        </w:rPr>
        <w:footnoteReference w:id="85"/>
      </w:r>
    </w:p>
    <w:p w14:paraId="46BDFE56" w14:textId="77777777" w:rsidR="00D16522" w:rsidRPr="00453546" w:rsidRDefault="00D16522" w:rsidP="00122D3A">
      <w:pPr>
        <w:jc w:val="both"/>
        <w:rPr>
          <w:rFonts w:ascii="Times New Roman" w:hAnsi="Times New Roman" w:cs="Times New Roman"/>
          <w:sz w:val="24"/>
          <w:szCs w:val="24"/>
        </w:rPr>
      </w:pPr>
    </w:p>
    <w:p w14:paraId="01D313F2" w14:textId="77777777" w:rsidR="00122D3A" w:rsidRPr="00453546" w:rsidRDefault="00122D3A" w:rsidP="00122D3A">
      <w:pPr>
        <w:jc w:val="both"/>
        <w:rPr>
          <w:rFonts w:ascii="Times New Roman" w:hAnsi="Times New Roman" w:cs="Times New Roman"/>
          <w:sz w:val="24"/>
          <w:szCs w:val="24"/>
        </w:rPr>
      </w:pPr>
      <w:r w:rsidRPr="00453546">
        <w:rPr>
          <w:rFonts w:ascii="Times New Roman" w:hAnsi="Times New Roman" w:cs="Times New Roman"/>
          <w:sz w:val="24"/>
          <w:szCs w:val="24"/>
        </w:rPr>
        <w:t xml:space="preserve">Meanwhile, Vedanta continued its mining project with full speed. In 2005, Vedanta began the construction of its bauxite refinery on the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 xml:space="preserve"> foothills, and the plant became operational in 2006.</w:t>
      </w:r>
      <w:r w:rsidRPr="00453546">
        <w:rPr>
          <w:rStyle w:val="FootnoteReference"/>
          <w:rFonts w:ascii="Times New Roman" w:hAnsi="Times New Roman" w:cs="Times New Roman"/>
          <w:sz w:val="24"/>
          <w:szCs w:val="24"/>
        </w:rPr>
        <w:footnoteReference w:id="86"/>
      </w:r>
      <w:r w:rsidRPr="00453546">
        <w:rPr>
          <w:rFonts w:ascii="Times New Roman" w:hAnsi="Times New Roman" w:cs="Times New Roman"/>
          <w:sz w:val="24"/>
          <w:szCs w:val="24"/>
        </w:rPr>
        <w:t xml:space="preserve"> Orissa State Pollution Control Board (OSPCB) had documented widespread water and air pollution caused by the </w:t>
      </w:r>
      <w:proofErr w:type="spellStart"/>
      <w:r w:rsidRPr="00453546">
        <w:rPr>
          <w:rFonts w:ascii="Times New Roman" w:hAnsi="Times New Roman" w:cs="Times New Roman"/>
          <w:sz w:val="24"/>
          <w:szCs w:val="24"/>
        </w:rPr>
        <w:t>Lanjigarh</w:t>
      </w:r>
      <w:proofErr w:type="spellEnd"/>
      <w:r w:rsidRPr="00453546">
        <w:rPr>
          <w:rFonts w:ascii="Times New Roman" w:hAnsi="Times New Roman" w:cs="Times New Roman"/>
          <w:sz w:val="24"/>
          <w:szCs w:val="24"/>
        </w:rPr>
        <w:t xml:space="preserve"> refinery since it opened in 2006. Reports also suggest that those living near the </w:t>
      </w:r>
      <w:proofErr w:type="spellStart"/>
      <w:r w:rsidRPr="00453546">
        <w:rPr>
          <w:rFonts w:ascii="Times New Roman" w:hAnsi="Times New Roman" w:cs="Times New Roman"/>
          <w:sz w:val="24"/>
          <w:szCs w:val="24"/>
        </w:rPr>
        <w:t>Lanjigarh</w:t>
      </w:r>
      <w:proofErr w:type="spellEnd"/>
      <w:r w:rsidRPr="00453546">
        <w:rPr>
          <w:rFonts w:ascii="Times New Roman" w:hAnsi="Times New Roman" w:cs="Times New Roman"/>
          <w:sz w:val="24"/>
          <w:szCs w:val="24"/>
        </w:rPr>
        <w:t xml:space="preserve"> refinery in Orissa breathed polluted air and were afraid to drink from or bathe in local rivers.</w:t>
      </w:r>
      <w:r w:rsidRPr="00453546">
        <w:rPr>
          <w:rStyle w:val="FootnoteReference"/>
          <w:rFonts w:ascii="Times New Roman" w:hAnsi="Times New Roman" w:cs="Times New Roman"/>
          <w:sz w:val="24"/>
          <w:szCs w:val="24"/>
        </w:rPr>
        <w:footnoteReference w:id="87"/>
      </w:r>
      <w:r w:rsidRPr="00453546">
        <w:rPr>
          <w:rFonts w:ascii="Times New Roman" w:hAnsi="Times New Roman" w:cs="Times New Roman"/>
          <w:sz w:val="24"/>
          <w:szCs w:val="24"/>
        </w:rPr>
        <w:t xml:space="preserve"> </w:t>
      </w:r>
    </w:p>
    <w:p w14:paraId="19B0D135" w14:textId="77777777" w:rsidR="00D16522" w:rsidRPr="00453546" w:rsidRDefault="00D16522" w:rsidP="00122D3A">
      <w:pPr>
        <w:jc w:val="both"/>
        <w:rPr>
          <w:rFonts w:ascii="Times New Roman" w:hAnsi="Times New Roman" w:cs="Times New Roman"/>
          <w:sz w:val="24"/>
          <w:szCs w:val="24"/>
        </w:rPr>
      </w:pPr>
    </w:p>
    <w:p w14:paraId="2F568AC4" w14:textId="77777777" w:rsidR="00122D3A" w:rsidRPr="00453546" w:rsidRDefault="00122D3A" w:rsidP="00122D3A">
      <w:pPr>
        <w:jc w:val="both"/>
        <w:rPr>
          <w:rFonts w:ascii="Times New Roman" w:hAnsi="Times New Roman" w:cs="Times New Roman"/>
          <w:sz w:val="24"/>
          <w:szCs w:val="24"/>
        </w:rPr>
      </w:pPr>
      <w:r w:rsidRPr="00453546">
        <w:rPr>
          <w:rFonts w:ascii="Times New Roman" w:hAnsi="Times New Roman" w:cs="Times New Roman"/>
          <w:sz w:val="24"/>
          <w:szCs w:val="24"/>
        </w:rPr>
        <w:t>Despite CEC’s recommendation against the proposed mining projects,</w:t>
      </w:r>
      <w:r w:rsidRPr="00453546">
        <w:rPr>
          <w:rStyle w:val="FootnoteReference"/>
          <w:rFonts w:ascii="Times New Roman" w:hAnsi="Times New Roman" w:cs="Times New Roman"/>
          <w:sz w:val="24"/>
          <w:szCs w:val="24"/>
        </w:rPr>
        <w:footnoteReference w:id="88"/>
      </w:r>
      <w:r w:rsidRPr="00453546">
        <w:rPr>
          <w:rFonts w:ascii="Times New Roman" w:hAnsi="Times New Roman" w:cs="Times New Roman"/>
          <w:sz w:val="24"/>
          <w:szCs w:val="24"/>
        </w:rPr>
        <w:t xml:space="preserve"> in 2007, India's Supreme Court ruled in favor of Vedanta by allowing its subsidiary to reapply for a license. One year later, the Supreme Court approved Vedanta’s mining activities at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 xml:space="preserve"> hills, including the large open-pit bauxite mine at the top of </w:t>
      </w:r>
      <w:proofErr w:type="spellStart"/>
      <w:r w:rsidRPr="00453546">
        <w:rPr>
          <w:rFonts w:ascii="Times New Roman" w:hAnsi="Times New Roman" w:cs="Times New Roman"/>
          <w:iCs/>
          <w:sz w:val="24"/>
          <w:szCs w:val="24"/>
        </w:rPr>
        <w:t>Niyam</w:t>
      </w:r>
      <w:proofErr w:type="spellEnd"/>
      <w:r w:rsidRPr="00453546">
        <w:rPr>
          <w:rFonts w:ascii="Times New Roman" w:hAnsi="Times New Roman" w:cs="Times New Roman"/>
          <w:iCs/>
          <w:sz w:val="24"/>
          <w:szCs w:val="24"/>
        </w:rPr>
        <w:t xml:space="preserve"> </w:t>
      </w:r>
      <w:proofErr w:type="spellStart"/>
      <w:r w:rsidRPr="00453546">
        <w:rPr>
          <w:rFonts w:ascii="Times New Roman" w:hAnsi="Times New Roman" w:cs="Times New Roman"/>
          <w:iCs/>
          <w:sz w:val="24"/>
          <w:szCs w:val="24"/>
        </w:rPr>
        <w:t>Dongar</w:t>
      </w:r>
      <w:proofErr w:type="spellEnd"/>
      <w:r w:rsidRPr="00453546">
        <w:rPr>
          <w:rFonts w:ascii="Times New Roman" w:hAnsi="Times New Roman" w:cs="Times New Roman"/>
          <w:sz w:val="24"/>
          <w:szCs w:val="24"/>
        </w:rPr>
        <w:t>.</w:t>
      </w:r>
      <w:r w:rsidRPr="00453546">
        <w:rPr>
          <w:rStyle w:val="FootnoteReference"/>
          <w:rFonts w:ascii="Times New Roman" w:hAnsi="Times New Roman" w:cs="Times New Roman"/>
          <w:sz w:val="24"/>
          <w:szCs w:val="24"/>
        </w:rPr>
        <w:footnoteReference w:id="89"/>
      </w:r>
      <w:r w:rsidRPr="00453546">
        <w:rPr>
          <w:rFonts w:ascii="Times New Roman" w:hAnsi="Times New Roman" w:cs="Times New Roman"/>
          <w:sz w:val="24"/>
          <w:szCs w:val="24"/>
        </w:rPr>
        <w:t xml:space="preserve"> </w:t>
      </w:r>
    </w:p>
    <w:p w14:paraId="261647A3" w14:textId="77777777" w:rsidR="00B90D5B" w:rsidRPr="00453546" w:rsidRDefault="00B90D5B" w:rsidP="00B90D5B">
      <w:pPr>
        <w:jc w:val="both"/>
        <w:rPr>
          <w:rFonts w:ascii="Times New Roman" w:hAnsi="Times New Roman" w:cs="Times New Roman"/>
          <w:sz w:val="24"/>
          <w:szCs w:val="24"/>
        </w:rPr>
      </w:pPr>
    </w:p>
    <w:p w14:paraId="3FC7082A" w14:textId="77777777" w:rsidR="00D16522" w:rsidRPr="00453546" w:rsidRDefault="00D16522" w:rsidP="00D16522">
      <w:pPr>
        <w:jc w:val="both"/>
        <w:rPr>
          <w:rFonts w:ascii="Times New Roman" w:hAnsi="Times New Roman" w:cs="Times New Roman"/>
          <w:sz w:val="24"/>
          <w:szCs w:val="24"/>
        </w:rPr>
      </w:pPr>
      <w:r w:rsidRPr="00453546">
        <w:rPr>
          <w:rFonts w:ascii="Times New Roman" w:hAnsi="Times New Roman" w:cs="Times New Roman"/>
          <w:sz w:val="24"/>
          <w:szCs w:val="24"/>
        </w:rPr>
        <w:t xml:space="preserve">Up till this point, given the geographical and linguistic isolation of the </w:t>
      </w:r>
      <w:proofErr w:type="spellStart"/>
      <w:r w:rsidRPr="00453546">
        <w:rPr>
          <w:rFonts w:ascii="Times New Roman" w:hAnsi="Times New Roman" w:cs="Times New Roman"/>
          <w:sz w:val="24"/>
          <w:szCs w:val="24"/>
        </w:rPr>
        <w:t>Dongria</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Kondh</w:t>
      </w:r>
      <w:proofErr w:type="spellEnd"/>
      <w:r w:rsidRPr="00453546">
        <w:rPr>
          <w:rFonts w:ascii="Times New Roman" w:hAnsi="Times New Roman" w:cs="Times New Roman"/>
          <w:sz w:val="24"/>
          <w:szCs w:val="24"/>
        </w:rPr>
        <w:t xml:space="preserve"> people, their collective struggle is virtually unknown outside of India. The </w:t>
      </w:r>
      <w:proofErr w:type="spellStart"/>
      <w:r w:rsidRPr="00453546">
        <w:rPr>
          <w:rFonts w:ascii="Times New Roman" w:hAnsi="Times New Roman" w:cs="Times New Roman"/>
          <w:sz w:val="24"/>
          <w:szCs w:val="24"/>
        </w:rPr>
        <w:t>kairotic</w:t>
      </w:r>
      <w:proofErr w:type="spellEnd"/>
      <w:r w:rsidRPr="00453546">
        <w:rPr>
          <w:rFonts w:ascii="Times New Roman" w:hAnsi="Times New Roman" w:cs="Times New Roman"/>
          <w:sz w:val="24"/>
          <w:szCs w:val="24"/>
        </w:rPr>
        <w:t xml:space="preserve"> </w:t>
      </w:r>
      <w:r w:rsidR="001B0F86" w:rsidRPr="00453546">
        <w:rPr>
          <w:rFonts w:ascii="Times New Roman" w:hAnsi="Times New Roman" w:cs="Times New Roman"/>
          <w:sz w:val="24"/>
          <w:szCs w:val="24"/>
        </w:rPr>
        <w:t>movement</w:t>
      </w:r>
      <w:r w:rsidRPr="00453546">
        <w:rPr>
          <w:rFonts w:ascii="Times New Roman" w:hAnsi="Times New Roman" w:cs="Times New Roman"/>
          <w:sz w:val="24"/>
          <w:szCs w:val="24"/>
        </w:rPr>
        <w:t xml:space="preserve"> </w:t>
      </w:r>
      <w:r w:rsidR="001B0F86" w:rsidRPr="00453546">
        <w:rPr>
          <w:rFonts w:ascii="Times New Roman" w:hAnsi="Times New Roman" w:cs="Times New Roman"/>
          <w:sz w:val="24"/>
          <w:szCs w:val="24"/>
        </w:rPr>
        <w:t xml:space="preserve">arrived </w:t>
      </w:r>
      <w:r w:rsidRPr="00453546">
        <w:rPr>
          <w:rFonts w:ascii="Times New Roman" w:hAnsi="Times New Roman" w:cs="Times New Roman"/>
          <w:sz w:val="24"/>
          <w:szCs w:val="24"/>
        </w:rPr>
        <w:t xml:space="preserve">in 2008, when the </w:t>
      </w:r>
      <w:proofErr w:type="spellStart"/>
      <w:r w:rsidRPr="00453546">
        <w:rPr>
          <w:rFonts w:ascii="Times New Roman" w:hAnsi="Times New Roman" w:cs="Times New Roman"/>
          <w:sz w:val="24"/>
          <w:szCs w:val="24"/>
        </w:rPr>
        <w:t>Dongria</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Kondh</w:t>
      </w:r>
      <w:proofErr w:type="spellEnd"/>
      <w:r w:rsidRPr="00453546">
        <w:rPr>
          <w:rFonts w:ascii="Times New Roman" w:hAnsi="Times New Roman" w:cs="Times New Roman"/>
          <w:sz w:val="24"/>
          <w:szCs w:val="24"/>
        </w:rPr>
        <w:t xml:space="preserve"> people received a “professional advocator” for their cause, </w:t>
      </w:r>
      <w:r w:rsidR="001B0F86" w:rsidRPr="00453546">
        <w:rPr>
          <w:rFonts w:ascii="Times New Roman" w:hAnsi="Times New Roman" w:cs="Times New Roman"/>
          <w:sz w:val="24"/>
          <w:szCs w:val="24"/>
        </w:rPr>
        <w:t xml:space="preserve">whose actions effectively trusted the </w:t>
      </w:r>
      <w:proofErr w:type="spellStart"/>
      <w:r w:rsidR="001B0F86" w:rsidRPr="00453546">
        <w:rPr>
          <w:rFonts w:ascii="Times New Roman" w:hAnsi="Times New Roman" w:cs="Times New Roman"/>
          <w:sz w:val="24"/>
          <w:szCs w:val="24"/>
        </w:rPr>
        <w:t>Niyamgiri</w:t>
      </w:r>
      <w:proofErr w:type="spellEnd"/>
      <w:r w:rsidR="001B0F86" w:rsidRPr="00453546">
        <w:rPr>
          <w:rFonts w:ascii="Times New Roman" w:hAnsi="Times New Roman" w:cs="Times New Roman"/>
          <w:sz w:val="24"/>
          <w:szCs w:val="24"/>
        </w:rPr>
        <w:t xml:space="preserve"> mining controversy into the global discourse. </w:t>
      </w:r>
      <w:r w:rsidRPr="00453546">
        <w:rPr>
          <w:rFonts w:ascii="Times New Roman" w:hAnsi="Times New Roman" w:cs="Times New Roman"/>
          <w:sz w:val="24"/>
          <w:szCs w:val="24"/>
        </w:rPr>
        <w:t xml:space="preserve">Survival International (SI), a UK based indigenous rights SMO has launched a global campaign targeting Vedanta’s mining activity at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w:t>
      </w:r>
      <w:r w:rsidRPr="00453546">
        <w:rPr>
          <w:rStyle w:val="FootnoteReference"/>
          <w:rFonts w:ascii="Times New Roman" w:hAnsi="Times New Roman" w:cs="Times New Roman"/>
          <w:sz w:val="24"/>
          <w:szCs w:val="24"/>
        </w:rPr>
        <w:footnoteReference w:id="90"/>
      </w:r>
      <w:r w:rsidRPr="00453546">
        <w:rPr>
          <w:rFonts w:ascii="Times New Roman" w:hAnsi="Times New Roman" w:cs="Times New Roman"/>
          <w:sz w:val="24"/>
          <w:szCs w:val="24"/>
        </w:rPr>
        <w:t xml:space="preserve"> Survival International refers to itself as the organization “representing the movement for tribal peoples worldwide.”</w:t>
      </w:r>
      <w:r w:rsidRPr="00453546">
        <w:rPr>
          <w:rStyle w:val="FootnoteReference"/>
          <w:rFonts w:ascii="Times New Roman" w:hAnsi="Times New Roman" w:cs="Times New Roman"/>
          <w:sz w:val="24"/>
          <w:szCs w:val="24"/>
        </w:rPr>
        <w:footnoteReference w:id="91"/>
      </w:r>
      <w:r w:rsidRPr="00453546">
        <w:rPr>
          <w:rFonts w:ascii="Times New Roman" w:hAnsi="Times New Roman" w:cs="Times New Roman"/>
          <w:sz w:val="24"/>
          <w:szCs w:val="24"/>
        </w:rPr>
        <w:t xml:space="preserve"> Founded in 1969, Survival International gained international recognition during the 1990s for its </w:t>
      </w:r>
      <w:r w:rsidRPr="00453546">
        <w:rPr>
          <w:rFonts w:ascii="Times New Roman" w:hAnsi="Times New Roman" w:cs="Times New Roman"/>
          <w:sz w:val="24"/>
          <w:szCs w:val="24"/>
        </w:rPr>
        <w:lastRenderedPageBreak/>
        <w:t xml:space="preserve">indigenous campaigns in South America, when the organization played a crucial role in catalyzing the establishment of </w:t>
      </w:r>
      <w:proofErr w:type="spellStart"/>
      <w:r w:rsidRPr="00453546">
        <w:rPr>
          <w:rFonts w:ascii="Times New Roman" w:hAnsi="Times New Roman" w:cs="Times New Roman"/>
          <w:sz w:val="24"/>
          <w:szCs w:val="24"/>
        </w:rPr>
        <w:t>Yanomami</w:t>
      </w:r>
      <w:proofErr w:type="spellEnd"/>
      <w:r w:rsidRPr="00453546">
        <w:rPr>
          <w:rFonts w:ascii="Times New Roman" w:hAnsi="Times New Roman" w:cs="Times New Roman"/>
          <w:sz w:val="24"/>
          <w:szCs w:val="24"/>
        </w:rPr>
        <w:t xml:space="preserve"> reservations in Brazil.</w:t>
      </w:r>
      <w:r w:rsidRPr="00453546">
        <w:rPr>
          <w:rStyle w:val="FootnoteReference"/>
          <w:rFonts w:ascii="Times New Roman" w:hAnsi="Times New Roman" w:cs="Times New Roman"/>
          <w:sz w:val="24"/>
          <w:szCs w:val="24"/>
        </w:rPr>
        <w:footnoteReference w:id="92"/>
      </w:r>
      <w:r w:rsidRPr="00453546">
        <w:rPr>
          <w:rFonts w:ascii="Times New Roman" w:hAnsi="Times New Roman" w:cs="Times New Roman"/>
          <w:sz w:val="24"/>
          <w:szCs w:val="24"/>
        </w:rPr>
        <w:t xml:space="preserve"> </w:t>
      </w:r>
    </w:p>
    <w:p w14:paraId="519105D4" w14:textId="77777777" w:rsidR="00D16522" w:rsidRPr="00453546" w:rsidRDefault="00D16522" w:rsidP="00D16522">
      <w:pPr>
        <w:jc w:val="both"/>
        <w:rPr>
          <w:rFonts w:ascii="Times New Roman" w:hAnsi="Times New Roman" w:cs="Times New Roman"/>
          <w:sz w:val="24"/>
          <w:szCs w:val="24"/>
        </w:rPr>
      </w:pPr>
    </w:p>
    <w:p w14:paraId="4399764C" w14:textId="77777777" w:rsidR="001B0F86" w:rsidRPr="00453546" w:rsidRDefault="001B0F86" w:rsidP="001B0F86">
      <w:pPr>
        <w:jc w:val="both"/>
        <w:rPr>
          <w:rFonts w:ascii="Times New Roman" w:hAnsi="Times New Roman" w:cs="Times New Roman"/>
          <w:sz w:val="24"/>
          <w:szCs w:val="24"/>
        </w:rPr>
      </w:pPr>
      <w:r w:rsidRPr="00453546">
        <w:rPr>
          <w:rFonts w:ascii="Times New Roman" w:hAnsi="Times New Roman" w:cs="Times New Roman"/>
          <w:sz w:val="24"/>
          <w:szCs w:val="24"/>
        </w:rPr>
        <w:t xml:space="preserve">Survival International functioned as professional “litigators” for the </w:t>
      </w:r>
      <w:proofErr w:type="spellStart"/>
      <w:r w:rsidRPr="00453546">
        <w:rPr>
          <w:rFonts w:ascii="Times New Roman" w:hAnsi="Times New Roman" w:cs="Times New Roman"/>
          <w:sz w:val="24"/>
          <w:szCs w:val="24"/>
        </w:rPr>
        <w:t>Dongria</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Kondh</w:t>
      </w:r>
      <w:proofErr w:type="spellEnd"/>
      <w:r w:rsidRPr="00453546">
        <w:rPr>
          <w:rFonts w:ascii="Times New Roman" w:hAnsi="Times New Roman" w:cs="Times New Roman"/>
          <w:sz w:val="24"/>
          <w:szCs w:val="24"/>
        </w:rPr>
        <w:t xml:space="preserve"> people. Although the </w:t>
      </w:r>
      <w:proofErr w:type="spellStart"/>
      <w:r w:rsidRPr="00453546">
        <w:rPr>
          <w:rFonts w:ascii="Times New Roman" w:hAnsi="Times New Roman" w:cs="Times New Roman"/>
          <w:sz w:val="24"/>
          <w:szCs w:val="24"/>
        </w:rPr>
        <w:t>Dongrias</w:t>
      </w:r>
      <w:proofErr w:type="spellEnd"/>
      <w:r w:rsidRPr="00453546">
        <w:rPr>
          <w:rFonts w:ascii="Times New Roman" w:hAnsi="Times New Roman" w:cs="Times New Roman"/>
          <w:sz w:val="24"/>
          <w:szCs w:val="24"/>
        </w:rPr>
        <w:t xml:space="preserve"> have already exhausted their domestic legal options, SI nonetheless sought means to discipline Vedanta through emerging transnational legal frameworks. In December 2008, Survival International filed a complaint to the UK National Contact Point for violations of provisions of the OECD Guidelines for Multinational Enterprises</w:t>
      </w:r>
      <w:r w:rsidRPr="00453546">
        <w:rPr>
          <w:rStyle w:val="FootnoteReference"/>
          <w:rFonts w:ascii="Times New Roman" w:hAnsi="Times New Roman" w:cs="Times New Roman"/>
          <w:sz w:val="24"/>
          <w:szCs w:val="24"/>
        </w:rPr>
        <w:footnoteReference w:id="93"/>
      </w:r>
      <w:r w:rsidRPr="00453546">
        <w:rPr>
          <w:rFonts w:ascii="Times New Roman" w:hAnsi="Times New Roman" w:cs="Times New Roman"/>
          <w:sz w:val="24"/>
          <w:szCs w:val="24"/>
        </w:rPr>
        <w:t xml:space="preserve"> concerning Vedanta’s planned mining activities in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w:t>
      </w:r>
      <w:r w:rsidRPr="00453546">
        <w:rPr>
          <w:rStyle w:val="FootnoteReference"/>
          <w:rFonts w:ascii="Times New Roman" w:hAnsi="Times New Roman" w:cs="Times New Roman"/>
          <w:sz w:val="24"/>
          <w:szCs w:val="24"/>
        </w:rPr>
        <w:footnoteReference w:id="94"/>
      </w:r>
      <w:r w:rsidRPr="00453546">
        <w:rPr>
          <w:rFonts w:ascii="Times New Roman" w:hAnsi="Times New Roman" w:cs="Times New Roman"/>
          <w:sz w:val="24"/>
          <w:szCs w:val="24"/>
        </w:rPr>
        <w:t xml:space="preserve"> SI has also posted its 31-page long official complaint on its website.</w:t>
      </w:r>
      <w:r w:rsidRPr="00453546">
        <w:rPr>
          <w:rStyle w:val="FootnoteReference"/>
          <w:rFonts w:ascii="Times New Roman" w:hAnsi="Times New Roman" w:cs="Times New Roman"/>
          <w:sz w:val="24"/>
          <w:szCs w:val="24"/>
        </w:rPr>
        <w:footnoteReference w:id="95"/>
      </w:r>
      <w:r w:rsidRPr="00453546">
        <w:rPr>
          <w:rFonts w:ascii="Times New Roman" w:hAnsi="Times New Roman" w:cs="Times New Roman"/>
          <w:sz w:val="24"/>
          <w:szCs w:val="24"/>
        </w:rPr>
        <w:t xml:space="preserve"> Specifically, Survival International claims that Vedanta has breached the OECD Guidelines for Multinational Corporations Vedanta Resources in that: [1] it has failed to respect the human rights of those affected by its activities (Part II, paragraph 2); [2] it has also failed to develop and apply effective self-regulatory practices and management systems that foster a relationship of confidence and mutual trust between enterprises and the societies in which they operate (Part II, paragraph 7); and [3] it’s failure as well as to engage in adequate and timely communication and consultation with the communities directly affected by its environmental, health and safety policies (Part V paragraph 2(b)). Additionally, Survival International accused Vedanta failed to respect are the rights of the </w:t>
      </w:r>
      <w:proofErr w:type="spellStart"/>
      <w:r w:rsidRPr="00453546">
        <w:rPr>
          <w:rFonts w:ascii="Times New Roman" w:hAnsi="Times New Roman" w:cs="Times New Roman"/>
          <w:sz w:val="24"/>
          <w:szCs w:val="24"/>
        </w:rPr>
        <w:t>Dongria</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Kondh</w:t>
      </w:r>
      <w:proofErr w:type="spellEnd"/>
      <w:r w:rsidRPr="00453546">
        <w:rPr>
          <w:rFonts w:ascii="Times New Roman" w:hAnsi="Times New Roman" w:cs="Times New Roman"/>
          <w:sz w:val="24"/>
          <w:szCs w:val="24"/>
        </w:rPr>
        <w:t xml:space="preserve"> to enjoy their own culture and to profess and practice their own religion (Articles 18 and 27 of the Civil and Political Rights Covenant; Article 12 of the UN), and their right to be consulted about any project affecting their lands or other resources (Article 8j of the Convention on Biological </w:t>
      </w:r>
      <w:r w:rsidRPr="00453546">
        <w:rPr>
          <w:rFonts w:ascii="Times New Roman" w:hAnsi="Times New Roman" w:cs="Times New Roman"/>
          <w:sz w:val="24"/>
          <w:szCs w:val="24"/>
        </w:rPr>
        <w:lastRenderedPageBreak/>
        <w:t xml:space="preserve">Diversity; Article 5(e) </w:t>
      </w:r>
      <w:proofErr w:type="spellStart"/>
      <w:r w:rsidRPr="00453546">
        <w:rPr>
          <w:rFonts w:ascii="Times New Roman" w:hAnsi="Times New Roman" w:cs="Times New Roman"/>
          <w:sz w:val="24"/>
          <w:szCs w:val="24"/>
        </w:rPr>
        <w:t>ofthe</w:t>
      </w:r>
      <w:proofErr w:type="spellEnd"/>
      <w:r w:rsidRPr="00453546">
        <w:rPr>
          <w:rFonts w:ascii="Times New Roman" w:hAnsi="Times New Roman" w:cs="Times New Roman"/>
          <w:sz w:val="24"/>
          <w:szCs w:val="24"/>
        </w:rPr>
        <w:t xml:space="preserve"> Race Convention; Articles 19 and 32 of the Declaration of Indigenous Rights).</w:t>
      </w:r>
      <w:r w:rsidRPr="00453546">
        <w:rPr>
          <w:rStyle w:val="FootnoteReference"/>
          <w:rFonts w:ascii="Times New Roman" w:hAnsi="Times New Roman" w:cs="Times New Roman"/>
          <w:sz w:val="24"/>
          <w:szCs w:val="24"/>
        </w:rPr>
        <w:footnoteReference w:id="96"/>
      </w:r>
    </w:p>
    <w:p w14:paraId="715C2B1B" w14:textId="77777777" w:rsidR="001B0F86" w:rsidRPr="00453546" w:rsidRDefault="001B0F86" w:rsidP="001B0F86">
      <w:pPr>
        <w:tabs>
          <w:tab w:val="left" w:pos="450"/>
        </w:tabs>
        <w:jc w:val="both"/>
        <w:rPr>
          <w:rFonts w:ascii="Times New Roman" w:hAnsi="Times New Roman" w:cs="Times New Roman"/>
          <w:color w:val="000000" w:themeColor="text1"/>
          <w:sz w:val="24"/>
          <w:szCs w:val="24"/>
        </w:rPr>
      </w:pPr>
    </w:p>
    <w:p w14:paraId="77EEA16B" w14:textId="77777777" w:rsidR="001B0F86" w:rsidRPr="00453546" w:rsidRDefault="001B0F86" w:rsidP="001B0F86">
      <w:pPr>
        <w:tabs>
          <w:tab w:val="left" w:pos="450"/>
        </w:tabs>
        <w:jc w:val="both"/>
        <w:rPr>
          <w:rFonts w:ascii="Times New Roman" w:hAnsi="Times New Roman" w:cs="Times New Roman"/>
          <w:color w:val="000000" w:themeColor="text1"/>
          <w:sz w:val="24"/>
          <w:szCs w:val="24"/>
        </w:rPr>
      </w:pPr>
      <w:r w:rsidRPr="00453546">
        <w:rPr>
          <w:rFonts w:ascii="Times New Roman" w:hAnsi="Times New Roman" w:cs="Times New Roman"/>
          <w:color w:val="000000" w:themeColor="text1"/>
          <w:sz w:val="24"/>
          <w:szCs w:val="24"/>
        </w:rPr>
        <w:t xml:space="preserve">It is important to note that the </w:t>
      </w:r>
      <w:r w:rsidRPr="00453546">
        <w:rPr>
          <w:rFonts w:ascii="Times New Roman" w:hAnsi="Times New Roman" w:cs="Times New Roman"/>
          <w:sz w:val="24"/>
          <w:szCs w:val="24"/>
        </w:rPr>
        <w:t>OECD Guidelines</w:t>
      </w:r>
      <w:r w:rsidRPr="00453546">
        <w:rPr>
          <w:rFonts w:ascii="Times New Roman" w:hAnsi="Times New Roman" w:cs="Times New Roman"/>
          <w:color w:val="000000" w:themeColor="text1"/>
          <w:sz w:val="24"/>
          <w:szCs w:val="24"/>
        </w:rPr>
        <w:t xml:space="preserve"> are entirely non-binding in a strict legal sense. Technically, the system is not “hard law”—it is neither binding on states and corporations, nor incorporated into their domestic; but they could affect the judgment of individuals and investors that might persuade either state or private entities to adhere to these customary human rights norms. The Guidelines represents one of several supranational efforts to create a customary consensus among OECD member states for developing a standard of appropriate corporate behavior. One of its unique features is its “enforcement” procedures, which provides the possibility for the creation of quasi-judicial organs whose purpose is to response to the allegations on The Guidelines to the actions of multinational corporations. These panels, known as OECD National Contact Points (NCPs), are constituted whenever there is a complaint lodged. These complaints may be lodged by civil society actors, including non-governmental organizations (NGOs) such as Survival International.</w:t>
      </w:r>
      <w:r w:rsidRPr="00453546">
        <w:rPr>
          <w:rStyle w:val="FootnoteReference"/>
          <w:rFonts w:ascii="Times New Roman" w:hAnsi="Times New Roman" w:cs="Times New Roman"/>
          <w:color w:val="000000" w:themeColor="text1"/>
          <w:sz w:val="24"/>
          <w:szCs w:val="24"/>
        </w:rPr>
        <w:footnoteReference w:id="97"/>
      </w:r>
      <w:r w:rsidRPr="00453546">
        <w:rPr>
          <w:rFonts w:ascii="Times New Roman" w:hAnsi="Times New Roman" w:cs="Times New Roman"/>
          <w:color w:val="000000" w:themeColor="text1"/>
          <w:sz w:val="24"/>
          <w:szCs w:val="24"/>
        </w:rPr>
        <w:t xml:space="preserve"> </w:t>
      </w:r>
    </w:p>
    <w:p w14:paraId="18B37465" w14:textId="77777777" w:rsidR="001B0F86" w:rsidRPr="00453546" w:rsidRDefault="001B0F86" w:rsidP="001B0F86">
      <w:pPr>
        <w:tabs>
          <w:tab w:val="left" w:pos="450"/>
        </w:tabs>
        <w:jc w:val="both"/>
        <w:rPr>
          <w:rFonts w:ascii="Times New Roman" w:hAnsi="Times New Roman" w:cs="Times New Roman"/>
          <w:color w:val="000000" w:themeColor="text1"/>
          <w:sz w:val="24"/>
          <w:szCs w:val="24"/>
        </w:rPr>
      </w:pPr>
    </w:p>
    <w:p w14:paraId="3784F72C" w14:textId="77777777" w:rsidR="001B0F86" w:rsidRPr="00453546" w:rsidRDefault="001B0F86" w:rsidP="001B0F86">
      <w:pPr>
        <w:jc w:val="both"/>
        <w:rPr>
          <w:rFonts w:ascii="Times New Roman" w:hAnsi="Times New Roman" w:cs="Times New Roman"/>
          <w:bCs/>
          <w:sz w:val="24"/>
          <w:szCs w:val="24"/>
        </w:rPr>
      </w:pPr>
      <w:r w:rsidRPr="00453546">
        <w:rPr>
          <w:rFonts w:ascii="Times New Roman" w:hAnsi="Times New Roman" w:cs="Times New Roman"/>
          <w:color w:val="000000" w:themeColor="text1"/>
          <w:sz w:val="24"/>
          <w:szCs w:val="24"/>
        </w:rPr>
        <w:t xml:space="preserve">Thus, the complaint filed by Survival International faces three major challenges: </w:t>
      </w:r>
      <w:r w:rsidRPr="00453546">
        <w:rPr>
          <w:rFonts w:ascii="Times New Roman" w:hAnsi="Times New Roman" w:cs="Times New Roman"/>
          <w:sz w:val="24"/>
          <w:szCs w:val="24"/>
        </w:rPr>
        <w:t>[1] OECD NCP structure formally provides no legal remedies; [2] violations of socio-economic and cultural rights are often considered outside of the purview of “human rights”; and [3] human rights themselves are not part of the traditional international law structure. To overcome these intrinsic difficulties, the document framed its language in ways that would be more recognizable and identifiable in relation to the global legal consciousness.</w:t>
      </w:r>
      <w:r w:rsidRPr="00453546">
        <w:rPr>
          <w:rStyle w:val="FootnoteReference"/>
          <w:rFonts w:ascii="Times New Roman" w:hAnsi="Times New Roman" w:cs="Times New Roman"/>
          <w:sz w:val="24"/>
          <w:szCs w:val="24"/>
        </w:rPr>
        <w:footnoteReference w:id="98"/>
      </w:r>
      <w:r w:rsidRPr="00453546">
        <w:rPr>
          <w:rFonts w:ascii="Times New Roman" w:hAnsi="Times New Roman" w:cs="Times New Roman"/>
          <w:sz w:val="24"/>
          <w:szCs w:val="24"/>
        </w:rPr>
        <w:t xml:space="preserve"> To overcome these difficulties, SI</w:t>
      </w:r>
      <w:r w:rsidRPr="00453546">
        <w:rPr>
          <w:rFonts w:ascii="Times New Roman" w:hAnsi="Times New Roman" w:cs="Times New Roman"/>
          <w:bCs/>
          <w:sz w:val="24"/>
          <w:szCs w:val="24"/>
        </w:rPr>
        <w:t xml:space="preserve"> strategically framed the complaint document by drawing from various differentiated norm systems concurrently in a unified fashion, transforming parochial norms into authoritative global rules, effectively elevating the otherwise non-legal document into a functional legal complaint.  </w:t>
      </w:r>
    </w:p>
    <w:p w14:paraId="030B1A78" w14:textId="77777777" w:rsidR="00694C5E" w:rsidRPr="00453546" w:rsidRDefault="00694C5E" w:rsidP="001B0F86">
      <w:pPr>
        <w:jc w:val="both"/>
        <w:rPr>
          <w:rFonts w:ascii="Times New Roman" w:hAnsi="Times New Roman" w:cs="Times New Roman"/>
          <w:sz w:val="24"/>
          <w:szCs w:val="24"/>
        </w:rPr>
      </w:pPr>
    </w:p>
    <w:p w14:paraId="5C032C02" w14:textId="77777777" w:rsidR="001B0F86" w:rsidRPr="00453546" w:rsidRDefault="001B0F86" w:rsidP="001B0F86">
      <w:pPr>
        <w:jc w:val="both"/>
        <w:rPr>
          <w:rFonts w:ascii="Times New Roman" w:hAnsi="Times New Roman" w:cs="Times New Roman"/>
          <w:sz w:val="24"/>
          <w:szCs w:val="24"/>
        </w:rPr>
      </w:pPr>
      <w:r w:rsidRPr="00453546">
        <w:rPr>
          <w:rFonts w:ascii="Times New Roman" w:hAnsi="Times New Roman" w:cs="Times New Roman"/>
          <w:sz w:val="24"/>
          <w:szCs w:val="24"/>
        </w:rPr>
        <w:t xml:space="preserve">To elevate the apparent legality and authoritativeness of its allegations, it is necessary for SI not only to draw from various rule frameworks in support its claims, but to present the claims in a coherent and unified fashion that is easily recognizable under the global legal consciousness. To achieve this, SI has employed the following strategies: [1] stylistically frame the format of the document to resemble a “legal complaint” rather than an typical “OECD inquiry”; [2] brush over the legal distinctions between cultural rights, socio-economic rights and civil-political rights by avoiding rights-categorization and referring them collectively as “human rights”; [3] frame violations of corporate social responsibility and OECD Guidelines as breaches of </w:t>
      </w:r>
      <w:r w:rsidRPr="00453546">
        <w:rPr>
          <w:rFonts w:ascii="Times New Roman" w:hAnsi="Times New Roman" w:cs="Times New Roman"/>
          <w:i/>
          <w:sz w:val="24"/>
          <w:szCs w:val="24"/>
        </w:rPr>
        <w:t>international law</w:t>
      </w:r>
      <w:r w:rsidRPr="00453546">
        <w:rPr>
          <w:rFonts w:ascii="Times New Roman" w:hAnsi="Times New Roman" w:cs="Times New Roman"/>
          <w:sz w:val="24"/>
          <w:szCs w:val="24"/>
        </w:rPr>
        <w:t xml:space="preserve">. </w:t>
      </w:r>
    </w:p>
    <w:p w14:paraId="00BC2E56" w14:textId="77777777" w:rsidR="001B0F86" w:rsidRPr="00453546" w:rsidRDefault="001B0F86" w:rsidP="001B0F86">
      <w:pPr>
        <w:jc w:val="both"/>
        <w:rPr>
          <w:rFonts w:ascii="Times New Roman" w:hAnsi="Times New Roman" w:cs="Times New Roman"/>
          <w:sz w:val="24"/>
          <w:szCs w:val="24"/>
        </w:rPr>
      </w:pPr>
    </w:p>
    <w:p w14:paraId="4E4A490C" w14:textId="77777777" w:rsidR="001B0F86" w:rsidRPr="00453546" w:rsidRDefault="001B0F86" w:rsidP="001B0F86">
      <w:pPr>
        <w:jc w:val="both"/>
        <w:rPr>
          <w:rFonts w:ascii="Times New Roman" w:hAnsi="Times New Roman" w:cs="Times New Roman"/>
          <w:b/>
          <w:bCs/>
          <w:sz w:val="24"/>
          <w:szCs w:val="24"/>
        </w:rPr>
      </w:pPr>
      <w:r w:rsidRPr="00453546">
        <w:rPr>
          <w:rFonts w:ascii="Times New Roman" w:hAnsi="Times New Roman" w:cs="Times New Roman"/>
          <w:sz w:val="24"/>
          <w:szCs w:val="24"/>
        </w:rPr>
        <w:lastRenderedPageBreak/>
        <w:t>The strategic framing is evident from the very first page of the document, when SI decided to use the word “complaint” in the document title “</w:t>
      </w:r>
      <w:r w:rsidRPr="00453546">
        <w:rPr>
          <w:rFonts w:ascii="Times New Roman" w:hAnsi="Times New Roman" w:cs="Times New Roman"/>
          <w:bCs/>
          <w:sz w:val="24"/>
          <w:szCs w:val="24"/>
        </w:rPr>
        <w:t>Complaint to the UK National Contact Point under the Specific Instance Procedure of the OECD Guidelines for Multinational Enterprises”.</w:t>
      </w:r>
      <w:r w:rsidRPr="00453546">
        <w:rPr>
          <w:rFonts w:ascii="Times New Roman" w:hAnsi="Times New Roman" w:cs="Times New Roman"/>
          <w:sz w:val="24"/>
          <w:szCs w:val="24"/>
        </w:rPr>
        <w:t xml:space="preserve"> It is well-understood that observance of the Guidelines by enterprises is voluntary and not legally enforceable. Consequently, according to the filing procedure of The Guidelines, reports of guideline violations should not be called “complaints”. Rather, the report should be filed as “inquiries” in “specific instances” seeking “clarification of the Guidelines”.</w:t>
      </w:r>
      <w:r w:rsidRPr="00453546">
        <w:rPr>
          <w:rStyle w:val="FootnoteReference"/>
          <w:rFonts w:ascii="Times New Roman" w:hAnsi="Times New Roman" w:cs="Times New Roman"/>
          <w:sz w:val="24"/>
          <w:szCs w:val="24"/>
        </w:rPr>
        <w:footnoteReference w:id="99"/>
      </w:r>
      <w:r w:rsidRPr="00453546">
        <w:rPr>
          <w:rFonts w:ascii="Times New Roman" w:hAnsi="Times New Roman" w:cs="Times New Roman"/>
          <w:sz w:val="24"/>
          <w:szCs w:val="24"/>
        </w:rPr>
        <w:t xml:space="preserve"> Although it is no longer the case, for many years the OECD even prohibited “inquiries” from naming the corporations whose conduct gave rise to the allegation of guideline violations.</w:t>
      </w:r>
      <w:r w:rsidRPr="00453546">
        <w:rPr>
          <w:rStyle w:val="FootnoteReference"/>
          <w:rFonts w:ascii="Times New Roman" w:hAnsi="Times New Roman" w:cs="Times New Roman"/>
          <w:sz w:val="24"/>
          <w:szCs w:val="24"/>
        </w:rPr>
        <w:footnoteReference w:id="100"/>
      </w:r>
      <w:r w:rsidRPr="00453546">
        <w:rPr>
          <w:rFonts w:ascii="Times New Roman" w:hAnsi="Times New Roman" w:cs="Times New Roman"/>
          <w:sz w:val="24"/>
          <w:szCs w:val="24"/>
        </w:rPr>
        <w:t xml:space="preserve"> The term “complaint” is commonly recognized as a legal term, which carries the connotation of allegations pertaining to legal violations—the nonobservance of rules that expect strict observance. By titling the document as a “complaint” rather than an “inquiry”, this seemingly minor deviation from OECD’s formatting requirement effectively (and scrumptiously) intensified the expectation of observation with regard to the alleged violations, and helped to set the legal-sounding tone for the rest of the document. </w:t>
      </w:r>
    </w:p>
    <w:p w14:paraId="12E126DB" w14:textId="77777777" w:rsidR="001B0F86" w:rsidRPr="00453546" w:rsidRDefault="001B0F86" w:rsidP="001B0F86">
      <w:pPr>
        <w:jc w:val="both"/>
        <w:rPr>
          <w:rFonts w:ascii="Times New Roman" w:hAnsi="Times New Roman" w:cs="Times New Roman"/>
          <w:sz w:val="24"/>
          <w:szCs w:val="24"/>
        </w:rPr>
      </w:pPr>
    </w:p>
    <w:p w14:paraId="629C682A" w14:textId="77777777" w:rsidR="001B0F86" w:rsidRPr="00453546" w:rsidRDefault="001B0F86" w:rsidP="001B0F86">
      <w:pPr>
        <w:jc w:val="both"/>
        <w:rPr>
          <w:rFonts w:ascii="Times New Roman" w:hAnsi="Times New Roman" w:cs="Times New Roman"/>
          <w:sz w:val="24"/>
          <w:szCs w:val="24"/>
        </w:rPr>
      </w:pPr>
      <w:r w:rsidRPr="00453546">
        <w:rPr>
          <w:rFonts w:ascii="Times New Roman" w:hAnsi="Times New Roman" w:cs="Times New Roman"/>
          <w:sz w:val="24"/>
          <w:szCs w:val="24"/>
        </w:rPr>
        <w:t>More importantly, the complaint document deals with the recognition difficulty associated with socio-economic and cultural rights by simply grouping all alleged rights violations under the widely-recognized umbrella term of “human rights”. Note that traditional (Western) understanding of human rights only includes individual natural rights (e.g. religious freedom) and civil-political rights (e.g. equality before the law)</w:t>
      </w:r>
      <w:r w:rsidRPr="00453546">
        <w:rPr>
          <w:rStyle w:val="FootnoteReference"/>
          <w:rFonts w:ascii="Times New Roman" w:hAnsi="Times New Roman" w:cs="Times New Roman"/>
          <w:sz w:val="24"/>
          <w:szCs w:val="24"/>
        </w:rPr>
        <w:footnoteReference w:id="101"/>
      </w:r>
      <w:r w:rsidRPr="00453546">
        <w:rPr>
          <w:rFonts w:ascii="Times New Roman" w:hAnsi="Times New Roman" w:cs="Times New Roman"/>
          <w:sz w:val="24"/>
          <w:szCs w:val="24"/>
        </w:rPr>
        <w:t xml:space="preserve">, whereas the rights of “means of subsistence” and “to be consulted and to give or refuse their FPIC (Free, Prior and Informed Consent) of an indigenous people typically belong to the contested domain of socio-economic and cultural rights. Against this inconvenient rights-fragmentation, the document </w:t>
      </w:r>
      <w:proofErr w:type="spellStart"/>
      <w:r w:rsidRPr="00453546">
        <w:rPr>
          <w:rFonts w:ascii="Times New Roman" w:hAnsi="Times New Roman" w:cs="Times New Roman"/>
          <w:sz w:val="24"/>
          <w:szCs w:val="24"/>
        </w:rPr>
        <w:t>unproblematically</w:t>
      </w:r>
      <w:proofErr w:type="spellEnd"/>
      <w:r w:rsidRPr="00453546">
        <w:rPr>
          <w:rFonts w:ascii="Times New Roman" w:hAnsi="Times New Roman" w:cs="Times New Roman"/>
          <w:sz w:val="24"/>
          <w:szCs w:val="24"/>
        </w:rPr>
        <w:t xml:space="preserve"> presented all of its references socio-economic, cultural, and civil-political rights as fundamental “human rights” that are equally protected under international law. Likewise, under the “Summary of complaint” section, the document listed its allegation of rights violation in a similar unified narrative framework.</w:t>
      </w:r>
      <w:r w:rsidRPr="00453546">
        <w:rPr>
          <w:rStyle w:val="FootnoteReference"/>
          <w:rFonts w:ascii="Times New Roman" w:hAnsi="Times New Roman" w:cs="Times New Roman"/>
          <w:sz w:val="24"/>
          <w:szCs w:val="24"/>
        </w:rPr>
        <w:t xml:space="preserve"> </w:t>
      </w:r>
      <w:r w:rsidRPr="00453546">
        <w:rPr>
          <w:rStyle w:val="FootnoteReference"/>
          <w:rFonts w:ascii="Times New Roman" w:hAnsi="Times New Roman" w:cs="Times New Roman"/>
          <w:sz w:val="24"/>
          <w:szCs w:val="24"/>
        </w:rPr>
        <w:footnoteReference w:id="102"/>
      </w:r>
    </w:p>
    <w:p w14:paraId="2554ED79" w14:textId="77777777" w:rsidR="001B0F86" w:rsidRPr="00453546" w:rsidRDefault="001B0F86" w:rsidP="001B0F86">
      <w:pPr>
        <w:jc w:val="both"/>
        <w:rPr>
          <w:rFonts w:ascii="Times New Roman" w:hAnsi="Times New Roman" w:cs="Times New Roman"/>
          <w:sz w:val="24"/>
          <w:szCs w:val="24"/>
        </w:rPr>
      </w:pPr>
    </w:p>
    <w:p w14:paraId="4627091B" w14:textId="77777777" w:rsidR="001B0F86" w:rsidRPr="00453546" w:rsidRDefault="001B0F86" w:rsidP="001B0F86">
      <w:pPr>
        <w:jc w:val="both"/>
        <w:rPr>
          <w:rFonts w:ascii="Times New Roman" w:hAnsi="Times New Roman" w:cs="Times New Roman"/>
          <w:sz w:val="24"/>
          <w:szCs w:val="24"/>
        </w:rPr>
      </w:pPr>
      <w:r w:rsidRPr="00453546">
        <w:rPr>
          <w:rFonts w:ascii="Times New Roman" w:hAnsi="Times New Roman" w:cs="Times New Roman"/>
          <w:sz w:val="24"/>
          <w:szCs w:val="24"/>
        </w:rPr>
        <w:t>Often, cases of indigenous population being deprived from their “means of subsistence” due to development projects without their FPIC</w:t>
      </w:r>
      <w:r w:rsidRPr="00453546">
        <w:rPr>
          <w:rStyle w:val="FootnoteReference"/>
          <w:rFonts w:ascii="Times New Roman" w:hAnsi="Times New Roman" w:cs="Times New Roman"/>
          <w:sz w:val="24"/>
          <w:szCs w:val="24"/>
        </w:rPr>
        <w:footnoteReference w:id="103"/>
      </w:r>
      <w:r w:rsidRPr="00453546">
        <w:rPr>
          <w:rFonts w:ascii="Times New Roman" w:hAnsi="Times New Roman" w:cs="Times New Roman"/>
          <w:sz w:val="24"/>
          <w:szCs w:val="24"/>
        </w:rPr>
        <w:t xml:space="preserve"> is framed as “economic or contractual dispute” rather than “rights violations”, despite the grossly asymmetric balance-of-power between  small native </w:t>
      </w:r>
      <w:r w:rsidRPr="00453546">
        <w:rPr>
          <w:rFonts w:ascii="Times New Roman" w:hAnsi="Times New Roman" w:cs="Times New Roman"/>
          <w:sz w:val="24"/>
          <w:szCs w:val="24"/>
        </w:rPr>
        <w:lastRenderedPageBreak/>
        <w:t xml:space="preserve">tribes and multinational enterprises. This seemingly trivial terminology distinction carries major legal and semantic implications—consider the difference betwixt “economic disputes </w:t>
      </w:r>
      <w:r w:rsidRPr="00453546">
        <w:rPr>
          <w:rFonts w:ascii="Times New Roman" w:hAnsi="Times New Roman" w:cs="Times New Roman"/>
          <w:i/>
          <w:sz w:val="24"/>
          <w:szCs w:val="24"/>
        </w:rPr>
        <w:t>between</w:t>
      </w:r>
      <w:r w:rsidRPr="00453546">
        <w:rPr>
          <w:rFonts w:ascii="Times New Roman" w:hAnsi="Times New Roman" w:cs="Times New Roman"/>
          <w:sz w:val="24"/>
          <w:szCs w:val="24"/>
        </w:rPr>
        <w:t xml:space="preserve"> Vedanta and </w:t>
      </w:r>
      <w:proofErr w:type="spellStart"/>
      <w:r w:rsidRPr="00453546">
        <w:rPr>
          <w:rFonts w:ascii="Times New Roman" w:hAnsi="Times New Roman" w:cs="Times New Roman"/>
          <w:sz w:val="24"/>
          <w:szCs w:val="24"/>
        </w:rPr>
        <w:t>Dongrias</w:t>
      </w:r>
      <w:proofErr w:type="spellEnd"/>
      <w:r w:rsidRPr="00453546">
        <w:rPr>
          <w:rFonts w:ascii="Times New Roman" w:hAnsi="Times New Roman" w:cs="Times New Roman"/>
          <w:sz w:val="24"/>
          <w:szCs w:val="24"/>
        </w:rPr>
        <w:t xml:space="preserve">”, and “rights violations committed by Vedanta </w:t>
      </w:r>
      <w:r w:rsidRPr="00453546">
        <w:rPr>
          <w:rFonts w:ascii="Times New Roman" w:hAnsi="Times New Roman" w:cs="Times New Roman"/>
          <w:i/>
          <w:sz w:val="24"/>
          <w:szCs w:val="24"/>
        </w:rPr>
        <w:t xml:space="preserve">against </w:t>
      </w:r>
      <w:proofErr w:type="spellStart"/>
      <w:r w:rsidRPr="00453546">
        <w:rPr>
          <w:rFonts w:ascii="Times New Roman" w:hAnsi="Times New Roman" w:cs="Times New Roman"/>
          <w:sz w:val="24"/>
          <w:szCs w:val="24"/>
        </w:rPr>
        <w:t>Dongrias</w:t>
      </w:r>
      <w:proofErr w:type="spellEnd"/>
      <w:r w:rsidRPr="00453546">
        <w:rPr>
          <w:rFonts w:ascii="Times New Roman" w:hAnsi="Times New Roman" w:cs="Times New Roman"/>
          <w:sz w:val="24"/>
          <w:szCs w:val="24"/>
        </w:rPr>
        <w:t>”. It is evident that the use of the term “economic dispute” often masks the underlying power disparity between the parties involved. Furthermore, the phrase “economic dispute” in itself only signifies the presence of</w:t>
      </w:r>
      <w:r w:rsidRPr="00453546">
        <w:rPr>
          <w:rFonts w:ascii="Times New Roman" w:hAnsi="Times New Roman" w:cs="Times New Roman"/>
          <w:i/>
          <w:sz w:val="24"/>
          <w:szCs w:val="24"/>
        </w:rPr>
        <w:t xml:space="preserve"> difference</w:t>
      </w:r>
      <w:r w:rsidRPr="00453546">
        <w:rPr>
          <w:rFonts w:ascii="Times New Roman" w:hAnsi="Times New Roman" w:cs="Times New Roman"/>
          <w:sz w:val="24"/>
          <w:szCs w:val="24"/>
        </w:rPr>
        <w:t xml:space="preserve"> between negotiating parties; it does not suggest any damages or injuries suffered. Whereas the invocation of “rights violation” implies underlying damages and injuries, it does not refer to any specific rule framework for addressing and disciplining the alleged violations. The frame of “human rights violation”, however, triggers both the rhetorical exigency of underlying injuries, as well as situating the exigency within well-established normative framework of international law.</w:t>
      </w:r>
    </w:p>
    <w:p w14:paraId="62953BF4" w14:textId="77777777" w:rsidR="001B0F86" w:rsidRPr="00453546" w:rsidRDefault="001B0F86" w:rsidP="001B0F86">
      <w:pPr>
        <w:jc w:val="both"/>
        <w:rPr>
          <w:rFonts w:ascii="Times New Roman" w:hAnsi="Times New Roman" w:cs="Times New Roman"/>
          <w:sz w:val="24"/>
          <w:szCs w:val="24"/>
        </w:rPr>
      </w:pPr>
    </w:p>
    <w:p w14:paraId="1229F61B" w14:textId="77777777" w:rsidR="001B0F86" w:rsidRPr="00453546" w:rsidRDefault="001B0F86" w:rsidP="001B0F86">
      <w:pPr>
        <w:jc w:val="both"/>
        <w:rPr>
          <w:rFonts w:ascii="Times New Roman" w:hAnsi="Times New Roman" w:cs="Times New Roman"/>
          <w:sz w:val="24"/>
          <w:szCs w:val="24"/>
        </w:rPr>
      </w:pPr>
      <w:r w:rsidRPr="00453546">
        <w:rPr>
          <w:rFonts w:ascii="Times New Roman" w:hAnsi="Times New Roman" w:cs="Times New Roman"/>
          <w:sz w:val="24"/>
          <w:szCs w:val="24"/>
        </w:rPr>
        <w:t>Lastly, while it is unlikely that Survival International is unaware of the non-binding nature of the OECD Guidelines, the document was nonetheless drafted in such a way that frames The Guidelines as “international law”. Such a framing effort at first</w:t>
      </w:r>
      <w:r w:rsidRPr="00453546">
        <w:rPr>
          <w:rFonts w:ascii="Times New Roman" w:hAnsi="Times New Roman" w:cs="Times New Roman"/>
          <w:i/>
          <w:sz w:val="24"/>
          <w:szCs w:val="24"/>
        </w:rPr>
        <w:t xml:space="preserve"> </w:t>
      </w:r>
      <w:r w:rsidRPr="00453546">
        <w:rPr>
          <w:rFonts w:ascii="Times New Roman" w:hAnsi="Times New Roman" w:cs="Times New Roman"/>
          <w:sz w:val="24"/>
          <w:szCs w:val="24"/>
        </w:rPr>
        <w:t>appears to be paradoxical. International laws are recognized as such because they embody general principles of law and customs”</w:t>
      </w:r>
      <w:r w:rsidRPr="00453546">
        <w:rPr>
          <w:rStyle w:val="FootnoteReference"/>
          <w:rFonts w:ascii="Times New Roman" w:hAnsi="Times New Roman" w:cs="Times New Roman"/>
          <w:sz w:val="24"/>
          <w:szCs w:val="24"/>
        </w:rPr>
        <w:t xml:space="preserve"> </w:t>
      </w:r>
      <w:r w:rsidRPr="00453546">
        <w:rPr>
          <w:rStyle w:val="FootnoteReference"/>
          <w:rFonts w:ascii="Times New Roman" w:hAnsi="Times New Roman" w:cs="Times New Roman"/>
          <w:sz w:val="24"/>
          <w:szCs w:val="24"/>
        </w:rPr>
        <w:footnoteReference w:id="104"/>
      </w:r>
      <w:r w:rsidRPr="00453546">
        <w:rPr>
          <w:rFonts w:ascii="Times New Roman" w:hAnsi="Times New Roman" w:cs="Times New Roman"/>
          <w:sz w:val="24"/>
          <w:szCs w:val="24"/>
        </w:rPr>
        <w:t xml:space="preserve"> that transcend state and institutional boundaries, and are widely recognized by the citizens of the world. The OECD Guidelines on the other hand can almost be seen as the antithesis of internal law—it is a set of newly introduced intra-organizational recommendations that receives little widespread recognition.  However, it is also important to note that the subsistence and substance of international law is the global legal framework is manifested through the intersubjective recognition of </w:t>
      </w:r>
      <w:proofErr w:type="gramStart"/>
      <w:r w:rsidRPr="00453546">
        <w:rPr>
          <w:rFonts w:ascii="Times New Roman" w:hAnsi="Times New Roman" w:cs="Times New Roman"/>
          <w:sz w:val="24"/>
          <w:szCs w:val="24"/>
        </w:rPr>
        <w:t>individuals</w:t>
      </w:r>
      <w:proofErr w:type="gramEnd"/>
      <w:r w:rsidRPr="00453546">
        <w:rPr>
          <w:rFonts w:ascii="Times New Roman" w:hAnsi="Times New Roman" w:cs="Times New Roman"/>
          <w:sz w:val="24"/>
          <w:szCs w:val="24"/>
        </w:rPr>
        <w:t xml:space="preserve"> living-in-the-world. There is no international law </w:t>
      </w:r>
      <w:r w:rsidRPr="00453546">
        <w:rPr>
          <w:rFonts w:ascii="Times New Roman" w:hAnsi="Times New Roman" w:cs="Times New Roman"/>
          <w:i/>
          <w:sz w:val="24"/>
          <w:szCs w:val="24"/>
        </w:rPr>
        <w:t>a priori</w:t>
      </w:r>
      <w:r w:rsidRPr="00453546">
        <w:rPr>
          <w:rFonts w:ascii="Times New Roman" w:hAnsi="Times New Roman" w:cs="Times New Roman"/>
          <w:sz w:val="24"/>
          <w:szCs w:val="24"/>
        </w:rPr>
        <w:t xml:space="preserve"> recognition, and there is no recognition </w:t>
      </w:r>
      <w:r w:rsidRPr="00453546">
        <w:rPr>
          <w:rFonts w:ascii="Times New Roman" w:hAnsi="Times New Roman" w:cs="Times New Roman"/>
          <w:i/>
          <w:sz w:val="24"/>
          <w:szCs w:val="24"/>
        </w:rPr>
        <w:t xml:space="preserve">a priori </w:t>
      </w:r>
      <w:r w:rsidRPr="00453546">
        <w:rPr>
          <w:rFonts w:ascii="Times New Roman" w:hAnsi="Times New Roman" w:cs="Times New Roman"/>
          <w:sz w:val="24"/>
          <w:szCs w:val="24"/>
        </w:rPr>
        <w:t xml:space="preserve">the exchange and circulation of meanings. Many foundational principles of international law today were once little more than </w:t>
      </w:r>
      <w:proofErr w:type="spellStart"/>
      <w:r w:rsidRPr="00453546">
        <w:rPr>
          <w:rFonts w:ascii="Times New Roman" w:hAnsi="Times New Roman" w:cs="Times New Roman"/>
          <w:sz w:val="24"/>
          <w:szCs w:val="24"/>
        </w:rPr>
        <w:t>neologistic</w:t>
      </w:r>
      <w:proofErr w:type="spellEnd"/>
      <w:r w:rsidRPr="00453546">
        <w:rPr>
          <w:rFonts w:ascii="Times New Roman" w:hAnsi="Times New Roman" w:cs="Times New Roman"/>
          <w:sz w:val="24"/>
          <w:szCs w:val="24"/>
        </w:rPr>
        <w:t xml:space="preserve"> jargons articulated by those Enlightenment philosophers, in the hope of persuading people to adopt and extend those obscure ideas into common values.</w:t>
      </w:r>
      <w:r w:rsidRPr="00453546">
        <w:rPr>
          <w:rStyle w:val="FootnoteReference"/>
          <w:rFonts w:ascii="Times New Roman" w:hAnsi="Times New Roman" w:cs="Times New Roman"/>
          <w:sz w:val="24"/>
          <w:szCs w:val="24"/>
        </w:rPr>
        <w:footnoteReference w:id="105"/>
      </w:r>
      <w:r w:rsidRPr="00453546">
        <w:rPr>
          <w:rFonts w:ascii="Times New Roman" w:hAnsi="Times New Roman" w:cs="Times New Roman"/>
          <w:sz w:val="24"/>
          <w:szCs w:val="24"/>
        </w:rPr>
        <w:t xml:space="preserve"> In this sense, the emergent global civil society is in party the result of individuals and groups attempting to </w:t>
      </w:r>
      <w:proofErr w:type="spellStart"/>
      <w:r w:rsidRPr="00453546">
        <w:rPr>
          <w:rFonts w:ascii="Times New Roman" w:hAnsi="Times New Roman" w:cs="Times New Roman"/>
          <w:sz w:val="24"/>
          <w:szCs w:val="24"/>
        </w:rPr>
        <w:t>interpellate</w:t>
      </w:r>
      <w:proofErr w:type="spellEnd"/>
      <w:r w:rsidRPr="00453546">
        <w:rPr>
          <w:rStyle w:val="FootnoteReference"/>
          <w:rFonts w:ascii="Times New Roman" w:hAnsi="Times New Roman" w:cs="Times New Roman"/>
          <w:sz w:val="24"/>
          <w:szCs w:val="24"/>
        </w:rPr>
        <w:footnoteReference w:id="106"/>
      </w:r>
      <w:r w:rsidRPr="00453546">
        <w:rPr>
          <w:rFonts w:ascii="Times New Roman" w:hAnsi="Times New Roman" w:cs="Times New Roman"/>
          <w:sz w:val="24"/>
          <w:szCs w:val="24"/>
        </w:rPr>
        <w:t xml:space="preserve"> others, through the circulation of meanings, into seeing the new and different meanings of the relations in the world, hopefully breaking out of the ossified limitations that bind the transaction of meanings. Though the transformation and proliferation of meanings are in part </w:t>
      </w:r>
      <w:r w:rsidRPr="00453546">
        <w:rPr>
          <w:rFonts w:ascii="Times New Roman" w:hAnsi="Times New Roman" w:cs="Times New Roman"/>
          <w:sz w:val="24"/>
          <w:szCs w:val="24"/>
        </w:rPr>
        <w:lastRenderedPageBreak/>
        <w:t xml:space="preserve">driven by historical and social forces that are outside of the manageable domain of any single individual or organization, there is nonetheless a practical need for organizations like SI to catalyze knowledge creation by strategically frame </w:t>
      </w:r>
      <w:proofErr w:type="spellStart"/>
      <w:r w:rsidRPr="00453546">
        <w:rPr>
          <w:rFonts w:ascii="Times New Roman" w:hAnsi="Times New Roman" w:cs="Times New Roman"/>
          <w:sz w:val="24"/>
          <w:szCs w:val="24"/>
        </w:rPr>
        <w:t>neologistic</w:t>
      </w:r>
      <w:proofErr w:type="spellEnd"/>
      <w:r w:rsidRPr="00453546">
        <w:rPr>
          <w:rFonts w:ascii="Times New Roman" w:hAnsi="Times New Roman" w:cs="Times New Roman"/>
          <w:sz w:val="24"/>
          <w:szCs w:val="24"/>
        </w:rPr>
        <w:t xml:space="preserve"> expressions as an integral part of a larger set of well-accepted value framework.</w:t>
      </w:r>
    </w:p>
    <w:p w14:paraId="6ED323F3" w14:textId="77777777" w:rsidR="001B0F86" w:rsidRPr="00453546" w:rsidRDefault="001B0F86" w:rsidP="001B0F86">
      <w:pPr>
        <w:jc w:val="both"/>
        <w:rPr>
          <w:rFonts w:ascii="Times New Roman" w:hAnsi="Times New Roman" w:cs="Times New Roman"/>
          <w:sz w:val="24"/>
          <w:szCs w:val="24"/>
        </w:rPr>
      </w:pPr>
    </w:p>
    <w:p w14:paraId="35171FAF" w14:textId="77777777" w:rsidR="001B0F86" w:rsidRPr="00453546" w:rsidRDefault="001B0F86" w:rsidP="001B0F86">
      <w:pPr>
        <w:jc w:val="both"/>
        <w:rPr>
          <w:rFonts w:ascii="Times New Roman" w:hAnsi="Times New Roman" w:cs="Times New Roman"/>
          <w:sz w:val="24"/>
          <w:szCs w:val="24"/>
        </w:rPr>
      </w:pPr>
      <w:r w:rsidRPr="00453546">
        <w:rPr>
          <w:rFonts w:ascii="Times New Roman" w:hAnsi="Times New Roman" w:cs="Times New Roman"/>
          <w:sz w:val="24"/>
          <w:szCs w:val="24"/>
        </w:rPr>
        <w:t>As the complaint document orderly presents the summary of its claims against Vedanta,</w:t>
      </w:r>
      <w:r w:rsidRPr="00453546">
        <w:rPr>
          <w:rStyle w:val="FootnoteReference"/>
          <w:rFonts w:ascii="Times New Roman" w:hAnsi="Times New Roman" w:cs="Times New Roman"/>
          <w:sz w:val="24"/>
          <w:szCs w:val="24"/>
        </w:rPr>
        <w:footnoteReference w:id="107"/>
      </w:r>
      <w:r w:rsidRPr="00453546">
        <w:rPr>
          <w:rFonts w:ascii="Times New Roman" w:hAnsi="Times New Roman" w:cs="Times New Roman"/>
          <w:sz w:val="24"/>
          <w:szCs w:val="24"/>
        </w:rPr>
        <w:t xml:space="preserve"> it juxtaposes the invocation of “international law”</w:t>
      </w:r>
      <w:r w:rsidRPr="00453546">
        <w:rPr>
          <w:rStyle w:val="FootnoteReference"/>
          <w:rFonts w:ascii="Times New Roman" w:hAnsi="Times New Roman" w:cs="Times New Roman"/>
          <w:sz w:val="24"/>
          <w:szCs w:val="24"/>
        </w:rPr>
        <w:footnoteReference w:id="108"/>
      </w:r>
      <w:r w:rsidRPr="00453546">
        <w:rPr>
          <w:rFonts w:ascii="Times New Roman" w:hAnsi="Times New Roman" w:cs="Times New Roman"/>
          <w:sz w:val="24"/>
          <w:szCs w:val="24"/>
        </w:rPr>
        <w:t xml:space="preserve"> after the statements of specific demands,</w:t>
      </w:r>
      <w:r w:rsidRPr="00453546">
        <w:rPr>
          <w:rStyle w:val="FootnoteReference"/>
          <w:rFonts w:ascii="Times New Roman" w:hAnsi="Times New Roman" w:cs="Times New Roman"/>
          <w:sz w:val="24"/>
          <w:szCs w:val="24"/>
        </w:rPr>
        <w:footnoteReference w:id="109"/>
      </w:r>
      <w:r w:rsidRPr="00453546">
        <w:rPr>
          <w:rFonts w:ascii="Times New Roman" w:hAnsi="Times New Roman" w:cs="Times New Roman"/>
          <w:sz w:val="24"/>
          <w:szCs w:val="24"/>
        </w:rPr>
        <w:t xml:space="preserve"> implying that the demands are clearly backed by well-established </w:t>
      </w:r>
      <w:proofErr w:type="gramStart"/>
      <w:r w:rsidRPr="00453546">
        <w:rPr>
          <w:rFonts w:ascii="Times New Roman" w:hAnsi="Times New Roman" w:cs="Times New Roman"/>
          <w:sz w:val="24"/>
          <w:szCs w:val="24"/>
        </w:rPr>
        <w:t>principles  of</w:t>
      </w:r>
      <w:proofErr w:type="gramEnd"/>
      <w:r w:rsidRPr="00453546">
        <w:rPr>
          <w:rFonts w:ascii="Times New Roman" w:hAnsi="Times New Roman" w:cs="Times New Roman"/>
          <w:sz w:val="24"/>
          <w:szCs w:val="24"/>
        </w:rPr>
        <w:t xml:space="preserve"> international law. The introduction therefore gives the appearance that from the very beginning the document was drafted within the context of international law, and expects an </w:t>
      </w:r>
      <w:proofErr w:type="spellStart"/>
      <w:r w:rsidRPr="00453546">
        <w:rPr>
          <w:rFonts w:ascii="Times New Roman" w:hAnsi="Times New Roman" w:cs="Times New Roman"/>
          <w:sz w:val="24"/>
          <w:szCs w:val="24"/>
        </w:rPr>
        <w:t>interpellated</w:t>
      </w:r>
      <w:proofErr w:type="spellEnd"/>
      <w:r w:rsidRPr="00453546">
        <w:rPr>
          <w:rFonts w:ascii="Times New Roman" w:hAnsi="Times New Roman" w:cs="Times New Roman"/>
          <w:sz w:val="24"/>
          <w:szCs w:val="24"/>
        </w:rPr>
        <w:t xml:space="preserve"> reader whom is already a subject to the normative recognition of international law. Throughout the rest of the document, the complaint did not address the fundamental question of whether those alleged violations really in fact pertain to international law—as such question should be already “evident” from the beginning of the document. The theme of international law is further reinforced through the frequent highlighting of “human rights” violations throughout the document, without separating those rights that are less recognized under traditional international law from the “human rights” frame. Finally, all the alleged violations of international law listed in the document refer back to the singular body of OECD Guidelines, which in turn implicitly frames the OECD Guidelines an inseparable and integral Part of the international law cosmos.</w:t>
      </w:r>
    </w:p>
    <w:p w14:paraId="53274089" w14:textId="77777777" w:rsidR="001B0F86" w:rsidRPr="00453546" w:rsidRDefault="001B0F86" w:rsidP="001B0F86">
      <w:pPr>
        <w:jc w:val="both"/>
        <w:rPr>
          <w:rFonts w:ascii="Times New Roman" w:hAnsi="Times New Roman" w:cs="Times New Roman"/>
          <w:sz w:val="24"/>
          <w:szCs w:val="24"/>
        </w:rPr>
      </w:pPr>
    </w:p>
    <w:p w14:paraId="23E397F2" w14:textId="77777777" w:rsidR="001B0F86" w:rsidRPr="00453546" w:rsidRDefault="001B0F86" w:rsidP="001B0F86">
      <w:pPr>
        <w:jc w:val="both"/>
        <w:rPr>
          <w:rFonts w:ascii="Times New Roman" w:hAnsi="Times New Roman" w:cs="Times New Roman"/>
          <w:bCs/>
          <w:sz w:val="24"/>
          <w:szCs w:val="24"/>
        </w:rPr>
      </w:pPr>
      <w:r w:rsidRPr="00453546">
        <w:rPr>
          <w:rFonts w:ascii="Times New Roman" w:hAnsi="Times New Roman" w:cs="Times New Roman"/>
          <w:sz w:val="24"/>
          <w:szCs w:val="24"/>
        </w:rPr>
        <w:t>Nine months later, UK National Contact Point (NCP) for the OECD</w:t>
      </w:r>
      <w:r w:rsidRPr="00453546">
        <w:rPr>
          <w:rFonts w:ascii="Times New Roman" w:hAnsi="Times New Roman" w:cs="Times New Roman"/>
          <w:bCs/>
          <w:sz w:val="24"/>
          <w:szCs w:val="24"/>
        </w:rPr>
        <w:t xml:space="preserve"> Guidelines for Multinational Enterprises responded positively to Survival International’s complaint.</w:t>
      </w:r>
      <w:r w:rsidRPr="00453546">
        <w:rPr>
          <w:rStyle w:val="FootnoteReference"/>
          <w:rFonts w:ascii="Times New Roman" w:hAnsi="Times New Roman" w:cs="Times New Roman"/>
          <w:bCs/>
          <w:sz w:val="24"/>
          <w:szCs w:val="24"/>
        </w:rPr>
        <w:footnoteReference w:id="110"/>
      </w:r>
      <w:r w:rsidRPr="00453546">
        <w:rPr>
          <w:rFonts w:ascii="Times New Roman" w:hAnsi="Times New Roman" w:cs="Times New Roman"/>
          <w:bCs/>
          <w:sz w:val="24"/>
          <w:szCs w:val="24"/>
        </w:rPr>
        <w:t xml:space="preserve"> The UK NCP affirmed all three charges of OECD guidelines violations lodged against Vedanta by Survival International. The UK NCP concluded that Vedanta failed to properly inform the affected </w:t>
      </w:r>
      <w:proofErr w:type="spellStart"/>
      <w:r w:rsidRPr="00453546">
        <w:rPr>
          <w:rFonts w:ascii="Times New Roman" w:hAnsi="Times New Roman" w:cs="Times New Roman"/>
          <w:bCs/>
          <w:sz w:val="24"/>
          <w:szCs w:val="24"/>
        </w:rPr>
        <w:t>Dongria</w:t>
      </w:r>
      <w:proofErr w:type="spellEnd"/>
      <w:r w:rsidRPr="00453546">
        <w:rPr>
          <w:rFonts w:ascii="Times New Roman" w:hAnsi="Times New Roman" w:cs="Times New Roman"/>
          <w:bCs/>
          <w:sz w:val="24"/>
          <w:szCs w:val="24"/>
        </w:rPr>
        <w:t xml:space="preserve"> </w:t>
      </w:r>
      <w:proofErr w:type="spellStart"/>
      <w:r w:rsidRPr="00453546">
        <w:rPr>
          <w:rFonts w:ascii="Times New Roman" w:hAnsi="Times New Roman" w:cs="Times New Roman"/>
          <w:bCs/>
          <w:sz w:val="24"/>
          <w:szCs w:val="24"/>
        </w:rPr>
        <w:t>Kondh</w:t>
      </w:r>
      <w:proofErr w:type="spellEnd"/>
      <w:r w:rsidRPr="00453546">
        <w:rPr>
          <w:rFonts w:ascii="Times New Roman" w:hAnsi="Times New Roman" w:cs="Times New Roman"/>
          <w:bCs/>
          <w:sz w:val="24"/>
          <w:szCs w:val="24"/>
        </w:rPr>
        <w:t xml:space="preserve"> people on the construction of the bauxite mine; it did not adequately consider the impact of their proposed mining project on the rights and freedoms of the </w:t>
      </w:r>
      <w:proofErr w:type="spellStart"/>
      <w:r w:rsidRPr="00453546">
        <w:rPr>
          <w:rFonts w:ascii="Times New Roman" w:hAnsi="Times New Roman" w:cs="Times New Roman"/>
          <w:bCs/>
          <w:sz w:val="24"/>
          <w:szCs w:val="24"/>
        </w:rPr>
        <w:t>Dongria</w:t>
      </w:r>
      <w:proofErr w:type="spellEnd"/>
      <w:r w:rsidRPr="00453546">
        <w:rPr>
          <w:rFonts w:ascii="Times New Roman" w:hAnsi="Times New Roman" w:cs="Times New Roman"/>
          <w:bCs/>
          <w:sz w:val="24"/>
          <w:szCs w:val="24"/>
        </w:rPr>
        <w:t xml:space="preserve"> </w:t>
      </w:r>
      <w:proofErr w:type="spellStart"/>
      <w:r w:rsidRPr="00453546">
        <w:rPr>
          <w:rFonts w:ascii="Times New Roman" w:hAnsi="Times New Roman" w:cs="Times New Roman"/>
          <w:bCs/>
          <w:sz w:val="24"/>
          <w:szCs w:val="24"/>
        </w:rPr>
        <w:t>Kondh</w:t>
      </w:r>
      <w:proofErr w:type="spellEnd"/>
      <w:r w:rsidRPr="00453546">
        <w:rPr>
          <w:rFonts w:ascii="Times New Roman" w:hAnsi="Times New Roman" w:cs="Times New Roman"/>
          <w:bCs/>
          <w:sz w:val="24"/>
          <w:szCs w:val="24"/>
        </w:rPr>
        <w:t>, and made little effort to mitigate the impact of its activities in the region.</w:t>
      </w:r>
      <w:r w:rsidRPr="00453546">
        <w:rPr>
          <w:rStyle w:val="FootnoteReference"/>
          <w:rFonts w:ascii="Times New Roman" w:hAnsi="Times New Roman" w:cs="Times New Roman"/>
          <w:bCs/>
          <w:sz w:val="24"/>
          <w:szCs w:val="24"/>
        </w:rPr>
        <w:footnoteReference w:id="111"/>
      </w:r>
    </w:p>
    <w:p w14:paraId="6D48E006" w14:textId="77777777" w:rsidR="00694C5E" w:rsidRPr="00453546" w:rsidRDefault="00694C5E" w:rsidP="001B0F86">
      <w:pPr>
        <w:jc w:val="both"/>
        <w:rPr>
          <w:rFonts w:ascii="Times New Roman" w:hAnsi="Times New Roman" w:cs="Times New Roman"/>
          <w:bCs/>
          <w:sz w:val="24"/>
          <w:szCs w:val="24"/>
        </w:rPr>
      </w:pPr>
    </w:p>
    <w:p w14:paraId="1FC74077" w14:textId="77777777" w:rsidR="001B0F86" w:rsidRPr="00453546" w:rsidRDefault="001B0F86" w:rsidP="001B0F86">
      <w:pPr>
        <w:jc w:val="both"/>
        <w:rPr>
          <w:rFonts w:ascii="Times New Roman" w:hAnsi="Times New Roman" w:cs="Times New Roman"/>
          <w:bCs/>
          <w:sz w:val="24"/>
          <w:szCs w:val="24"/>
        </w:rPr>
      </w:pPr>
      <w:r w:rsidRPr="00453546">
        <w:rPr>
          <w:rFonts w:ascii="Times New Roman" w:hAnsi="Times New Roman" w:cs="Times New Roman"/>
          <w:bCs/>
          <w:sz w:val="24"/>
          <w:szCs w:val="24"/>
        </w:rPr>
        <w:t>It is important to note that the OECD Guidelines are “soft law” with limited legal effect, and the UK NCP’s response does not have binding legal force. But rhetorically speaking, the NCP’s opinions generated significant effect in Great Britain and beyond. Immediately after the NCP’s opinions were released, the British government issued follow up statements reaffirming the NCP’s conclusions.</w:t>
      </w:r>
      <w:r w:rsidRPr="00453546">
        <w:rPr>
          <w:rStyle w:val="FootnoteReference"/>
          <w:rFonts w:ascii="Times New Roman" w:hAnsi="Times New Roman" w:cs="Times New Roman"/>
          <w:bCs/>
          <w:sz w:val="24"/>
          <w:szCs w:val="24"/>
        </w:rPr>
        <w:footnoteReference w:id="112"/>
      </w:r>
      <w:r w:rsidRPr="00453546">
        <w:rPr>
          <w:rFonts w:ascii="Times New Roman" w:hAnsi="Times New Roman" w:cs="Times New Roman"/>
          <w:bCs/>
          <w:sz w:val="24"/>
          <w:szCs w:val="24"/>
        </w:rPr>
        <w:t xml:space="preserve"> In response to the UK NCP’s findings,</w:t>
      </w:r>
      <w:r w:rsidRPr="00453546">
        <w:rPr>
          <w:rFonts w:ascii="Times New Roman" w:hAnsi="Times New Roman" w:cs="Times New Roman"/>
          <w:b/>
          <w:bCs/>
          <w:sz w:val="24"/>
          <w:szCs w:val="24"/>
        </w:rPr>
        <w:t xml:space="preserve"> </w:t>
      </w:r>
      <w:r w:rsidRPr="00453546">
        <w:rPr>
          <w:rFonts w:ascii="Times New Roman" w:hAnsi="Times New Roman" w:cs="Times New Roman"/>
          <w:bCs/>
          <w:sz w:val="24"/>
          <w:szCs w:val="24"/>
        </w:rPr>
        <w:t>Amnesty International, one of the largest international human rights NGOs,</w:t>
      </w:r>
      <w:r w:rsidRPr="00453546">
        <w:rPr>
          <w:rFonts w:ascii="Times New Roman" w:hAnsi="Times New Roman" w:cs="Times New Roman"/>
          <w:b/>
          <w:bCs/>
          <w:sz w:val="24"/>
          <w:szCs w:val="24"/>
        </w:rPr>
        <w:t xml:space="preserve"> </w:t>
      </w:r>
      <w:r w:rsidRPr="00453546">
        <w:rPr>
          <w:rFonts w:ascii="Times New Roman" w:hAnsi="Times New Roman" w:cs="Times New Roman"/>
          <w:bCs/>
          <w:sz w:val="24"/>
          <w:szCs w:val="24"/>
        </w:rPr>
        <w:t>released a report on February 9 2010 condemning Vedanta’s activities at</w:t>
      </w:r>
      <w:r w:rsidRPr="00453546">
        <w:rPr>
          <w:rFonts w:ascii="Times New Roman" w:hAnsi="Times New Roman" w:cs="Times New Roman"/>
          <w:sz w:val="24"/>
          <w:szCs w:val="24"/>
        </w:rPr>
        <w:t xml:space="preserve"> </w:t>
      </w:r>
      <w:proofErr w:type="spellStart"/>
      <w:r w:rsidRPr="00453546">
        <w:rPr>
          <w:rFonts w:ascii="Times New Roman" w:hAnsi="Times New Roman" w:cs="Times New Roman"/>
          <w:bCs/>
          <w:sz w:val="24"/>
          <w:szCs w:val="24"/>
        </w:rPr>
        <w:t>Niyamgiri</w:t>
      </w:r>
      <w:proofErr w:type="spellEnd"/>
      <w:r w:rsidRPr="00453546">
        <w:rPr>
          <w:rFonts w:ascii="Times New Roman" w:hAnsi="Times New Roman" w:cs="Times New Roman"/>
          <w:bCs/>
          <w:sz w:val="24"/>
          <w:szCs w:val="24"/>
        </w:rPr>
        <w:t xml:space="preserve">, where it highlighted Vedanta’s breach of the OECD Guidelines, and framed the breach as “violations” of international law. </w:t>
      </w:r>
      <w:r w:rsidRPr="00453546">
        <w:rPr>
          <w:rStyle w:val="FootnoteReference"/>
          <w:rFonts w:ascii="Times New Roman" w:hAnsi="Times New Roman" w:cs="Times New Roman"/>
          <w:bCs/>
          <w:sz w:val="24"/>
          <w:szCs w:val="24"/>
        </w:rPr>
        <w:footnoteReference w:id="113"/>
      </w:r>
    </w:p>
    <w:p w14:paraId="3A00D97E" w14:textId="77777777" w:rsidR="001B0F86" w:rsidRPr="00453546" w:rsidRDefault="001B0F86" w:rsidP="001B0F86">
      <w:pPr>
        <w:jc w:val="both"/>
        <w:rPr>
          <w:rFonts w:ascii="Times New Roman" w:hAnsi="Times New Roman" w:cs="Times New Roman"/>
          <w:sz w:val="24"/>
          <w:szCs w:val="24"/>
        </w:rPr>
      </w:pPr>
    </w:p>
    <w:p w14:paraId="4DA47C75" w14:textId="77777777" w:rsidR="001B0F86" w:rsidRPr="00453546" w:rsidRDefault="001B0F86" w:rsidP="001B0F86">
      <w:pPr>
        <w:jc w:val="both"/>
        <w:rPr>
          <w:rFonts w:ascii="Times New Roman" w:hAnsi="Times New Roman" w:cs="Times New Roman"/>
          <w:sz w:val="24"/>
          <w:szCs w:val="24"/>
        </w:rPr>
      </w:pPr>
      <w:r w:rsidRPr="00453546">
        <w:rPr>
          <w:rFonts w:ascii="Times New Roman" w:hAnsi="Times New Roman" w:cs="Times New Roman"/>
          <w:sz w:val="24"/>
          <w:szCs w:val="24"/>
        </w:rPr>
        <w:t xml:space="preserve">The mounting international pressures have compelled the Indian government to reconsider its previous position. In summer, 2010 the Indian Ministry of Environment and Forests commissioned a special committee to reevaluate the mining activities in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 xml:space="preserve"> region. The special committee released a report raising concerns over Vedanta’s planned projects in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 “…allowing mining in the proposed mining lease area by depriving two Primitive Tribal Groups of their rights over the proposed mining site in order to benefit a private company would shake the faith of tribal people in the laws of the land which may have serious consequences for the security and well-being of the entire country.”</w:t>
      </w:r>
      <w:r w:rsidRPr="00453546">
        <w:rPr>
          <w:rStyle w:val="FootnoteReference"/>
          <w:rFonts w:ascii="Times New Roman" w:hAnsi="Times New Roman" w:cs="Times New Roman"/>
          <w:sz w:val="24"/>
          <w:szCs w:val="24"/>
        </w:rPr>
        <w:footnoteReference w:id="114"/>
      </w:r>
      <w:r w:rsidRPr="00453546">
        <w:rPr>
          <w:rFonts w:ascii="Times New Roman" w:hAnsi="Times New Roman" w:cs="Times New Roman"/>
          <w:sz w:val="24"/>
          <w:szCs w:val="24"/>
        </w:rPr>
        <w:t xml:space="preserve"> The report further claims suggested several potential violations of law committed by Vedanta in its mining projects in the area, which include violation of Forest Conservation Act,</w:t>
      </w:r>
      <w:r w:rsidRPr="00453546">
        <w:rPr>
          <w:rStyle w:val="FootnoteReference"/>
          <w:rFonts w:ascii="Times New Roman" w:hAnsi="Times New Roman" w:cs="Times New Roman"/>
          <w:sz w:val="24"/>
          <w:szCs w:val="24"/>
        </w:rPr>
        <w:footnoteReference w:id="115"/>
      </w:r>
      <w:r w:rsidRPr="00453546">
        <w:rPr>
          <w:rFonts w:ascii="Times New Roman" w:hAnsi="Times New Roman" w:cs="Times New Roman"/>
          <w:sz w:val="24"/>
          <w:szCs w:val="24"/>
        </w:rPr>
        <w:t xml:space="preserve"> violation of the Environment </w:t>
      </w:r>
      <w:r w:rsidRPr="00453546">
        <w:rPr>
          <w:rFonts w:ascii="Times New Roman" w:hAnsi="Times New Roman" w:cs="Times New Roman"/>
          <w:sz w:val="24"/>
          <w:szCs w:val="24"/>
        </w:rPr>
        <w:lastRenderedPageBreak/>
        <w:t>Protection Act,</w:t>
      </w:r>
      <w:r w:rsidRPr="00453546">
        <w:rPr>
          <w:rStyle w:val="FootnoteReference"/>
          <w:rFonts w:ascii="Times New Roman" w:hAnsi="Times New Roman" w:cs="Times New Roman"/>
          <w:sz w:val="24"/>
          <w:szCs w:val="24"/>
        </w:rPr>
        <w:footnoteReference w:id="116"/>
      </w:r>
      <w:r w:rsidRPr="00453546">
        <w:rPr>
          <w:rFonts w:ascii="Times New Roman" w:hAnsi="Times New Roman" w:cs="Times New Roman"/>
          <w:sz w:val="24"/>
          <w:szCs w:val="24"/>
        </w:rPr>
        <w:t xml:space="preserve"> as well as non-implementation of the Panchayats Extension to the Scheduled Areas Act.</w:t>
      </w:r>
      <w:r w:rsidRPr="00453546">
        <w:rPr>
          <w:rStyle w:val="FootnoteReference"/>
          <w:rFonts w:ascii="Times New Roman" w:hAnsi="Times New Roman" w:cs="Times New Roman"/>
          <w:sz w:val="24"/>
          <w:szCs w:val="24"/>
        </w:rPr>
        <w:footnoteReference w:id="117"/>
      </w:r>
      <w:r w:rsidRPr="00453546">
        <w:rPr>
          <w:rFonts w:ascii="Times New Roman" w:hAnsi="Times New Roman" w:cs="Times New Roman"/>
          <w:sz w:val="24"/>
          <w:szCs w:val="24"/>
        </w:rPr>
        <w:t xml:space="preserve"> </w:t>
      </w:r>
    </w:p>
    <w:p w14:paraId="3A476B7F" w14:textId="77777777" w:rsidR="001B0F86" w:rsidRPr="00453546" w:rsidRDefault="001B0F86" w:rsidP="001B0F86">
      <w:pPr>
        <w:jc w:val="both"/>
        <w:rPr>
          <w:rFonts w:ascii="Times New Roman" w:hAnsi="Times New Roman" w:cs="Times New Roman"/>
          <w:sz w:val="24"/>
          <w:szCs w:val="24"/>
        </w:rPr>
      </w:pPr>
    </w:p>
    <w:p w14:paraId="60F3BC8E" w14:textId="77777777" w:rsidR="001B0F86" w:rsidRPr="00453546" w:rsidRDefault="001B0F86" w:rsidP="001B0F86">
      <w:pPr>
        <w:jc w:val="both"/>
        <w:rPr>
          <w:rFonts w:ascii="Times New Roman" w:hAnsi="Times New Roman" w:cs="Times New Roman"/>
          <w:sz w:val="24"/>
          <w:szCs w:val="24"/>
        </w:rPr>
      </w:pPr>
      <w:r w:rsidRPr="00453546">
        <w:rPr>
          <w:rFonts w:ascii="Times New Roman" w:hAnsi="Times New Roman" w:cs="Times New Roman"/>
          <w:sz w:val="24"/>
          <w:szCs w:val="24"/>
        </w:rPr>
        <w:t xml:space="preserve">In August, 2010, in response to the special committee’s report, India’s Environment Minister </w:t>
      </w:r>
      <w:proofErr w:type="spellStart"/>
      <w:r w:rsidRPr="00453546">
        <w:rPr>
          <w:rFonts w:ascii="Times New Roman" w:hAnsi="Times New Roman" w:cs="Times New Roman"/>
          <w:sz w:val="24"/>
          <w:szCs w:val="24"/>
        </w:rPr>
        <w:t>Jairam</w:t>
      </w:r>
      <w:proofErr w:type="spellEnd"/>
      <w:r w:rsidRPr="00453546">
        <w:rPr>
          <w:rFonts w:ascii="Times New Roman" w:hAnsi="Times New Roman" w:cs="Times New Roman"/>
          <w:sz w:val="24"/>
          <w:szCs w:val="24"/>
        </w:rPr>
        <w:t xml:space="preserve"> Ramesh has said that Vedanta shown a “shocking and blatant disregard for the rights of the tribal groups”, and has announced the move by the Ministry to block Vedanta’s controversial mining plan at the </w:t>
      </w:r>
      <w:proofErr w:type="spellStart"/>
      <w:r w:rsidRPr="00453546">
        <w:rPr>
          <w:rFonts w:ascii="Times New Roman" w:hAnsi="Times New Roman" w:cs="Times New Roman"/>
          <w:iCs/>
          <w:sz w:val="24"/>
          <w:szCs w:val="24"/>
        </w:rPr>
        <w:t>Niyam</w:t>
      </w:r>
      <w:proofErr w:type="spellEnd"/>
      <w:r w:rsidRPr="00453546">
        <w:rPr>
          <w:rFonts w:ascii="Times New Roman" w:hAnsi="Times New Roman" w:cs="Times New Roman"/>
          <w:iCs/>
          <w:sz w:val="24"/>
          <w:szCs w:val="24"/>
        </w:rPr>
        <w:t xml:space="preserve"> </w:t>
      </w:r>
      <w:proofErr w:type="spellStart"/>
      <w:r w:rsidRPr="00453546">
        <w:rPr>
          <w:rFonts w:ascii="Times New Roman" w:hAnsi="Times New Roman" w:cs="Times New Roman"/>
          <w:iCs/>
          <w:sz w:val="24"/>
          <w:szCs w:val="24"/>
        </w:rPr>
        <w:t>Dongar</w:t>
      </w:r>
      <w:proofErr w:type="spellEnd"/>
      <w:r w:rsidRPr="00453546">
        <w:rPr>
          <w:rFonts w:ascii="Times New Roman" w:hAnsi="Times New Roman" w:cs="Times New Roman"/>
          <w:iCs/>
          <w:sz w:val="24"/>
          <w:szCs w:val="24"/>
        </w:rPr>
        <w:t xml:space="preserve"> Mountain</w:t>
      </w:r>
      <w:r w:rsidRPr="00453546">
        <w:rPr>
          <w:rFonts w:ascii="Times New Roman" w:hAnsi="Times New Roman" w:cs="Times New Roman"/>
          <w:sz w:val="24"/>
          <w:szCs w:val="24"/>
        </w:rPr>
        <w:t>.</w:t>
      </w:r>
      <w:r w:rsidRPr="00453546">
        <w:rPr>
          <w:rStyle w:val="FootnoteReference"/>
          <w:rFonts w:ascii="Times New Roman" w:hAnsi="Times New Roman" w:cs="Times New Roman"/>
          <w:sz w:val="24"/>
          <w:szCs w:val="24"/>
        </w:rPr>
        <w:footnoteReference w:id="118"/>
      </w:r>
      <w:r w:rsidRPr="00453546">
        <w:rPr>
          <w:rFonts w:ascii="Times New Roman" w:hAnsi="Times New Roman" w:cs="Times New Roman"/>
          <w:sz w:val="24"/>
          <w:szCs w:val="24"/>
        </w:rPr>
        <w:t xml:space="preserve"> In October, the Environment Ministry rejected Vedanta’s plan to expand the </w:t>
      </w:r>
      <w:proofErr w:type="spellStart"/>
      <w:r w:rsidRPr="00453546">
        <w:rPr>
          <w:rFonts w:ascii="Times New Roman" w:hAnsi="Times New Roman" w:cs="Times New Roman"/>
          <w:sz w:val="24"/>
          <w:szCs w:val="24"/>
        </w:rPr>
        <w:t>Lanjigarh</w:t>
      </w:r>
      <w:proofErr w:type="spellEnd"/>
      <w:r w:rsidRPr="00453546">
        <w:rPr>
          <w:rFonts w:ascii="Times New Roman" w:hAnsi="Times New Roman" w:cs="Times New Roman"/>
          <w:sz w:val="24"/>
          <w:szCs w:val="24"/>
        </w:rPr>
        <w:t xml:space="preserve"> refinery below the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 xml:space="preserve"> hills, and demanded immediate improvements to environmental conditions of the existing plant.</w:t>
      </w:r>
      <w:r w:rsidRPr="00453546">
        <w:rPr>
          <w:rStyle w:val="FootnoteReference"/>
          <w:rFonts w:ascii="Times New Roman" w:hAnsi="Times New Roman" w:cs="Times New Roman"/>
          <w:sz w:val="24"/>
          <w:szCs w:val="24"/>
        </w:rPr>
        <w:footnoteReference w:id="119"/>
      </w:r>
      <w:r w:rsidRPr="00453546">
        <w:rPr>
          <w:rFonts w:ascii="Times New Roman" w:hAnsi="Times New Roman" w:cs="Times New Roman"/>
          <w:sz w:val="24"/>
          <w:szCs w:val="24"/>
        </w:rPr>
        <w:t xml:space="preserve"> </w:t>
      </w:r>
    </w:p>
    <w:p w14:paraId="01957020" w14:textId="77777777" w:rsidR="00C61C5A" w:rsidRPr="00453546" w:rsidRDefault="00C61C5A" w:rsidP="001B0F86">
      <w:pPr>
        <w:jc w:val="both"/>
        <w:rPr>
          <w:rFonts w:ascii="Times New Roman" w:hAnsi="Times New Roman" w:cs="Times New Roman"/>
          <w:sz w:val="24"/>
          <w:szCs w:val="24"/>
        </w:rPr>
      </w:pPr>
    </w:p>
    <w:p w14:paraId="5CFB3B9D" w14:textId="77777777" w:rsidR="001B0F86" w:rsidRPr="00453546" w:rsidRDefault="001B0F86" w:rsidP="001B0F86">
      <w:pPr>
        <w:jc w:val="both"/>
        <w:rPr>
          <w:rFonts w:ascii="Times New Roman" w:hAnsi="Times New Roman" w:cs="Times New Roman"/>
          <w:sz w:val="24"/>
          <w:szCs w:val="24"/>
        </w:rPr>
      </w:pPr>
      <w:r w:rsidRPr="00453546">
        <w:rPr>
          <w:rFonts w:ascii="Times New Roman" w:hAnsi="Times New Roman" w:cs="Times New Roman"/>
          <w:sz w:val="24"/>
          <w:szCs w:val="24"/>
        </w:rPr>
        <w:t>Vedanta moved quickly to file an appeal to the Indian Supreme Court against Environment Ministry’s ministerial decision.</w:t>
      </w:r>
      <w:r w:rsidRPr="00453546">
        <w:rPr>
          <w:rStyle w:val="FootnoteReference"/>
          <w:rFonts w:ascii="Times New Roman" w:hAnsi="Times New Roman" w:cs="Times New Roman"/>
          <w:sz w:val="24"/>
          <w:szCs w:val="24"/>
        </w:rPr>
        <w:footnoteReference w:id="120"/>
      </w:r>
      <w:r w:rsidRPr="00453546">
        <w:rPr>
          <w:rFonts w:ascii="Times New Roman" w:hAnsi="Times New Roman" w:cs="Times New Roman"/>
          <w:sz w:val="24"/>
          <w:szCs w:val="24"/>
        </w:rPr>
        <w:t xml:space="preserve"> As the functioning of the </w:t>
      </w:r>
      <w:proofErr w:type="spellStart"/>
      <w:r w:rsidRPr="00453546">
        <w:rPr>
          <w:rFonts w:ascii="Times New Roman" w:hAnsi="Times New Roman" w:cs="Times New Roman"/>
          <w:sz w:val="24"/>
          <w:szCs w:val="24"/>
        </w:rPr>
        <w:t>Lanjigarh</w:t>
      </w:r>
      <w:proofErr w:type="spellEnd"/>
      <w:r w:rsidRPr="00453546">
        <w:rPr>
          <w:rFonts w:ascii="Times New Roman" w:hAnsi="Times New Roman" w:cs="Times New Roman"/>
          <w:sz w:val="24"/>
          <w:szCs w:val="24"/>
        </w:rPr>
        <w:t xml:space="preserve"> aluminum refinery is dependent on the establishment of the bauxite mines on nearby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 xml:space="preserve"> hills, in September 2012, Vedanta announced that it will close its </w:t>
      </w:r>
      <w:proofErr w:type="spellStart"/>
      <w:r w:rsidRPr="00453546">
        <w:rPr>
          <w:rFonts w:ascii="Times New Roman" w:hAnsi="Times New Roman" w:cs="Times New Roman"/>
          <w:sz w:val="24"/>
          <w:szCs w:val="24"/>
        </w:rPr>
        <w:t>Lanjigarh</w:t>
      </w:r>
      <w:proofErr w:type="spellEnd"/>
      <w:r w:rsidRPr="00453546">
        <w:rPr>
          <w:rFonts w:ascii="Times New Roman" w:hAnsi="Times New Roman" w:cs="Times New Roman"/>
          <w:sz w:val="24"/>
          <w:szCs w:val="24"/>
        </w:rPr>
        <w:t xml:space="preserve"> refinery by December 2012 unless the Supreme Court grant Vedanta the permission to mine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 xml:space="preserve"> hills once again.</w:t>
      </w:r>
      <w:r w:rsidRPr="00453546">
        <w:rPr>
          <w:rStyle w:val="FootnoteReference"/>
          <w:rFonts w:ascii="Times New Roman" w:hAnsi="Times New Roman" w:cs="Times New Roman"/>
          <w:sz w:val="24"/>
          <w:szCs w:val="24"/>
        </w:rPr>
        <w:footnoteReference w:id="121"/>
      </w:r>
      <w:r w:rsidRPr="00453546">
        <w:rPr>
          <w:rFonts w:ascii="Times New Roman" w:hAnsi="Times New Roman" w:cs="Times New Roman"/>
          <w:sz w:val="24"/>
          <w:szCs w:val="24"/>
        </w:rPr>
        <w:t xml:space="preserve"> This time around, in addition to supports from international SMOs, an alliance of local tribes has formed around the </w:t>
      </w:r>
      <w:proofErr w:type="spellStart"/>
      <w:r w:rsidRPr="00453546">
        <w:rPr>
          <w:rFonts w:ascii="Times New Roman" w:hAnsi="Times New Roman" w:cs="Times New Roman"/>
          <w:sz w:val="24"/>
          <w:szCs w:val="24"/>
        </w:rPr>
        <w:t>Dongria</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Khondhs</w:t>
      </w:r>
      <w:proofErr w:type="spellEnd"/>
      <w:r w:rsidRPr="00453546">
        <w:rPr>
          <w:rFonts w:ascii="Times New Roman" w:hAnsi="Times New Roman" w:cs="Times New Roman"/>
          <w:sz w:val="24"/>
          <w:szCs w:val="24"/>
        </w:rPr>
        <w:t xml:space="preserve"> for the common purpose of defending their socio-economic and cultural rights.</w:t>
      </w:r>
      <w:r w:rsidRPr="00453546">
        <w:rPr>
          <w:rStyle w:val="FootnoteReference"/>
          <w:rFonts w:ascii="Times New Roman" w:hAnsi="Times New Roman" w:cs="Times New Roman"/>
          <w:sz w:val="24"/>
          <w:szCs w:val="24"/>
        </w:rPr>
        <w:footnoteReference w:id="122"/>
      </w:r>
      <w:r w:rsidRPr="00453546">
        <w:rPr>
          <w:rFonts w:ascii="Times New Roman" w:hAnsi="Times New Roman" w:cs="Times New Roman"/>
          <w:sz w:val="24"/>
          <w:szCs w:val="24"/>
        </w:rPr>
        <w:t xml:space="preserve"> In April, 2013, the Indian Supreme Court today rejected an appeal to allow Vedanta Resources to mine the </w:t>
      </w:r>
      <w:proofErr w:type="spellStart"/>
      <w:r w:rsidRPr="00453546">
        <w:rPr>
          <w:rFonts w:ascii="Times New Roman" w:hAnsi="Times New Roman" w:cs="Times New Roman"/>
          <w:sz w:val="24"/>
          <w:szCs w:val="24"/>
        </w:rPr>
        <w:t>Niyamgiri</w:t>
      </w:r>
      <w:proofErr w:type="spellEnd"/>
      <w:r w:rsidRPr="00453546">
        <w:rPr>
          <w:rFonts w:ascii="Times New Roman" w:hAnsi="Times New Roman" w:cs="Times New Roman"/>
          <w:sz w:val="24"/>
          <w:szCs w:val="24"/>
        </w:rPr>
        <w:t xml:space="preserve"> hills. The court further held that those indigenous people affected by the proposed mine should have a decisive say in whether it goes ahead, that all issues concerning religious and cultural rights of the indigenous people must be heard in the </w:t>
      </w:r>
      <w:r w:rsidRPr="00453546">
        <w:rPr>
          <w:rFonts w:ascii="Times New Roman" w:hAnsi="Times New Roman" w:cs="Times New Roman"/>
          <w:sz w:val="24"/>
          <w:szCs w:val="24"/>
        </w:rPr>
        <w:lastRenderedPageBreak/>
        <w:t xml:space="preserve">decision-making process. Additionally, the court recognized the </w:t>
      </w:r>
      <w:proofErr w:type="spellStart"/>
      <w:r w:rsidRPr="00453546">
        <w:rPr>
          <w:rFonts w:ascii="Times New Roman" w:hAnsi="Times New Roman" w:cs="Times New Roman"/>
          <w:sz w:val="24"/>
          <w:szCs w:val="24"/>
        </w:rPr>
        <w:t>Dongria</w:t>
      </w:r>
      <w:proofErr w:type="spellEnd"/>
      <w:r w:rsidRPr="00453546">
        <w:rPr>
          <w:rFonts w:ascii="Times New Roman" w:hAnsi="Times New Roman" w:cs="Times New Roman"/>
          <w:sz w:val="24"/>
          <w:szCs w:val="24"/>
        </w:rPr>
        <w:t xml:space="preserve"> </w:t>
      </w:r>
      <w:proofErr w:type="spellStart"/>
      <w:r w:rsidRPr="00453546">
        <w:rPr>
          <w:rFonts w:ascii="Times New Roman" w:hAnsi="Times New Roman" w:cs="Times New Roman"/>
          <w:sz w:val="24"/>
          <w:szCs w:val="24"/>
        </w:rPr>
        <w:t>Kondh</w:t>
      </w:r>
      <w:proofErr w:type="spellEnd"/>
      <w:r w:rsidRPr="00453546">
        <w:rPr>
          <w:rFonts w:ascii="Times New Roman" w:hAnsi="Times New Roman" w:cs="Times New Roman"/>
          <w:sz w:val="24"/>
          <w:szCs w:val="24"/>
        </w:rPr>
        <w:t xml:space="preserve"> tribe’s right to worship their sacred mountain, and held that their right to worship must be protected and preserved.</w:t>
      </w:r>
      <w:r w:rsidRPr="00453546">
        <w:rPr>
          <w:rStyle w:val="FootnoteReference"/>
          <w:rFonts w:ascii="Times New Roman" w:hAnsi="Times New Roman" w:cs="Times New Roman"/>
          <w:sz w:val="24"/>
          <w:szCs w:val="24"/>
        </w:rPr>
        <w:footnoteReference w:id="123"/>
      </w:r>
    </w:p>
    <w:p w14:paraId="2D2AD486" w14:textId="77777777" w:rsidR="001B0F86" w:rsidRPr="00453546" w:rsidRDefault="001B0F86" w:rsidP="00D16522">
      <w:pPr>
        <w:jc w:val="both"/>
        <w:rPr>
          <w:rFonts w:ascii="Times New Roman" w:hAnsi="Times New Roman" w:cs="Times New Roman"/>
          <w:sz w:val="24"/>
          <w:szCs w:val="24"/>
        </w:rPr>
      </w:pPr>
    </w:p>
    <w:p w14:paraId="5F27D97E" w14:textId="77777777" w:rsidR="001B0F86" w:rsidRPr="00453546" w:rsidRDefault="001B0F86" w:rsidP="001B0F86">
      <w:pPr>
        <w:jc w:val="both"/>
        <w:rPr>
          <w:rFonts w:ascii="Times New Roman" w:hAnsi="Times New Roman" w:cs="Times New Roman"/>
          <w:iCs/>
          <w:sz w:val="24"/>
          <w:szCs w:val="24"/>
        </w:rPr>
      </w:pPr>
      <w:r w:rsidRPr="00453546">
        <w:rPr>
          <w:rFonts w:ascii="Times New Roman" w:hAnsi="Times New Roman" w:cs="Times New Roman"/>
          <w:color w:val="000000" w:themeColor="text1"/>
          <w:sz w:val="24"/>
          <w:szCs w:val="24"/>
        </w:rPr>
        <w:t xml:space="preserve">The case study of Survival International’s indigenous rights campaign organized on behalf of the </w:t>
      </w:r>
      <w:proofErr w:type="spellStart"/>
      <w:r w:rsidRPr="00453546">
        <w:rPr>
          <w:rFonts w:ascii="Times New Roman" w:hAnsi="Times New Roman" w:cs="Times New Roman"/>
          <w:color w:val="000000" w:themeColor="text1"/>
          <w:sz w:val="24"/>
          <w:szCs w:val="24"/>
        </w:rPr>
        <w:t>Dongria</w:t>
      </w:r>
      <w:proofErr w:type="spellEnd"/>
      <w:r w:rsidRPr="00453546">
        <w:rPr>
          <w:rFonts w:ascii="Times New Roman" w:hAnsi="Times New Roman" w:cs="Times New Roman"/>
          <w:color w:val="000000" w:themeColor="text1"/>
          <w:sz w:val="24"/>
          <w:szCs w:val="24"/>
        </w:rPr>
        <w:t xml:space="preserve"> </w:t>
      </w:r>
      <w:proofErr w:type="spellStart"/>
      <w:r w:rsidRPr="00453546">
        <w:rPr>
          <w:rFonts w:ascii="Times New Roman" w:hAnsi="Times New Roman" w:cs="Times New Roman"/>
          <w:color w:val="000000" w:themeColor="text1"/>
          <w:sz w:val="24"/>
          <w:szCs w:val="24"/>
        </w:rPr>
        <w:t>Kondh</w:t>
      </w:r>
      <w:proofErr w:type="spellEnd"/>
      <w:r w:rsidRPr="00453546">
        <w:rPr>
          <w:rFonts w:ascii="Times New Roman" w:hAnsi="Times New Roman" w:cs="Times New Roman"/>
          <w:color w:val="000000" w:themeColor="text1"/>
          <w:sz w:val="24"/>
          <w:szCs w:val="24"/>
        </w:rPr>
        <w:t xml:space="preserve"> people demonstrates the possibility for a framework through which standards of human rights and corporate social responsibility could be applied directly to private entities through the organized discursive efforts of global civil society actors. The case of Survival International is especially important because it points to a tangible global civic space through which non-state actors could bring “complaints” against multinational entities for violations of socio-economic and cultural rights—rights that are often unprotected under traditional human rights standards. </w:t>
      </w:r>
      <w:r w:rsidRPr="00453546">
        <w:rPr>
          <w:rFonts w:ascii="Times New Roman" w:hAnsi="Times New Roman" w:cs="Times New Roman"/>
          <w:iCs/>
          <w:sz w:val="24"/>
          <w:szCs w:val="24"/>
        </w:rPr>
        <w:t xml:space="preserve">It follows that global civic rhetoric not only involves the universalization of provincial narratives for broader recognition, but also requires the particularization of general messages for specialized audiences.  By strategically framing its campaign narrative through the creative deployment of both specialized and cosmopolitan perspectives, non-state actors such as Survival International may be able to facilitate the externalization of its messages to the global public society, as well as brining substantive material changes to the ground. </w:t>
      </w:r>
    </w:p>
    <w:p w14:paraId="16CF9530" w14:textId="77777777" w:rsidR="001B0F86" w:rsidRPr="00453546" w:rsidRDefault="001B0F86" w:rsidP="001B0F86">
      <w:pPr>
        <w:jc w:val="both"/>
        <w:rPr>
          <w:rFonts w:ascii="Times New Roman" w:hAnsi="Times New Roman" w:cs="Times New Roman"/>
          <w:sz w:val="24"/>
          <w:szCs w:val="24"/>
        </w:rPr>
      </w:pPr>
    </w:p>
    <w:p w14:paraId="349B00D2" w14:textId="77777777" w:rsidR="001B0F86" w:rsidRPr="00453546" w:rsidRDefault="001B0F86" w:rsidP="001B0F86">
      <w:pPr>
        <w:tabs>
          <w:tab w:val="left" w:pos="450"/>
        </w:tabs>
        <w:jc w:val="both"/>
        <w:rPr>
          <w:rFonts w:ascii="Times New Roman" w:hAnsi="Times New Roman" w:cs="Times New Roman"/>
          <w:color w:val="000000" w:themeColor="text1"/>
          <w:sz w:val="24"/>
          <w:szCs w:val="24"/>
        </w:rPr>
      </w:pPr>
      <w:r w:rsidRPr="00453546">
        <w:rPr>
          <w:rFonts w:ascii="Times New Roman" w:hAnsi="Times New Roman" w:cs="Times New Roman"/>
          <w:color w:val="000000" w:themeColor="text1"/>
          <w:sz w:val="24"/>
          <w:szCs w:val="24"/>
        </w:rPr>
        <w:t>More significantly, the mechanisms of OECD Guidelines as a transnational civic framework may have legal effect, regardless of whether to not they conform to the classically understood notions of “law”. The Survival International case also demonstrates an effective process of operationalizing global civic rhetoric to produce the “hard law” effects beyond national borders without directly challenging state authority. The output of quasi-judicial and interpretive narratives, like those from the Survival International case discussed below, will continue to contribute to the institutionalization of transnational systems of human rights enforcement, and provide a key rhetorical antecedent to participatory global citizenship. This is not only instructive for civil society actors that seek to enforce corporate social responsibility beyond state-centric frameworks, but may also contribute to those projects of corporate governance that are currently being developed, such as the United Nations Guiding Principles on Business and Human Rights.</w:t>
      </w:r>
      <w:r w:rsidRPr="00453546">
        <w:rPr>
          <w:rStyle w:val="FootnoteReference"/>
          <w:rFonts w:ascii="Times New Roman" w:hAnsi="Times New Roman" w:cs="Times New Roman"/>
          <w:color w:val="000000" w:themeColor="text1"/>
          <w:sz w:val="24"/>
          <w:szCs w:val="24"/>
        </w:rPr>
        <w:footnoteReference w:id="124"/>
      </w:r>
    </w:p>
    <w:p w14:paraId="397B3C79" w14:textId="77777777" w:rsidR="001B0F86" w:rsidRPr="00694C5E" w:rsidRDefault="001B0F86" w:rsidP="001B0F86">
      <w:pPr>
        <w:jc w:val="both"/>
        <w:rPr>
          <w:rFonts w:ascii="Times New Roman" w:hAnsi="Times New Roman" w:cs="Times New Roman"/>
          <w:iCs/>
        </w:rPr>
      </w:pPr>
    </w:p>
    <w:p w14:paraId="47CBD309" w14:textId="77777777" w:rsidR="001B0F86" w:rsidRPr="00694C5E" w:rsidRDefault="001B0F86" w:rsidP="001B0F86">
      <w:pPr>
        <w:rPr>
          <w:rFonts w:ascii="Times New Roman" w:hAnsi="Times New Roman" w:cs="Times New Roman"/>
        </w:rPr>
      </w:pPr>
    </w:p>
    <w:p w14:paraId="716BDB61" w14:textId="77777777" w:rsidR="00694C5E" w:rsidRDefault="00694C5E" w:rsidP="000044E0">
      <w:pPr>
        <w:pStyle w:val="Heading1"/>
        <w:rPr>
          <w:rFonts w:ascii="Times New Roman" w:hAnsi="Times New Roman" w:cs="Times New Roman"/>
        </w:rPr>
      </w:pPr>
      <w:r>
        <w:rPr>
          <w:rFonts w:ascii="Times New Roman" w:hAnsi="Times New Roman" w:cs="Times New Roman"/>
        </w:rPr>
        <w:lastRenderedPageBreak/>
        <w:t xml:space="preserve">Conclusion </w:t>
      </w:r>
    </w:p>
    <w:p w14:paraId="51CC13A5" w14:textId="77777777" w:rsidR="00694C5E" w:rsidRDefault="00694C5E" w:rsidP="00694C5E"/>
    <w:p w14:paraId="1D1A8114" w14:textId="77777777" w:rsidR="00F31F19" w:rsidRDefault="00C61C5A" w:rsidP="0072798B">
      <w:pPr>
        <w:pStyle w:val="NormalWeb"/>
        <w:spacing w:before="0" w:beforeAutospacing="0" w:after="0" w:afterAutospacing="0"/>
        <w:jc w:val="both"/>
        <w:rPr>
          <w:color w:val="222222"/>
          <w:shd w:val="clear" w:color="auto" w:fill="FFFFFF"/>
        </w:rPr>
      </w:pPr>
      <w:r>
        <w:rPr>
          <w:color w:val="222222"/>
          <w:shd w:val="clear" w:color="auto" w:fill="FFFFFF"/>
        </w:rPr>
        <w:t>Non-state actors are now in an extraordinary position to influence education systems globally especially in developing and underdeveloped countries by harmoni</w:t>
      </w:r>
      <w:r w:rsidR="00960A89">
        <w:rPr>
          <w:color w:val="222222"/>
          <w:shd w:val="clear" w:color="auto" w:fill="FFFFFF"/>
        </w:rPr>
        <w:t>zation of educational standards</w:t>
      </w:r>
      <w:r w:rsidR="00960A89">
        <w:rPr>
          <w:rFonts w:eastAsiaTheme="minorEastAsia" w:hint="eastAsia"/>
          <w:color w:val="222222"/>
          <w:shd w:val="clear" w:color="auto" w:fill="FFFFFF"/>
        </w:rPr>
        <w:t xml:space="preserve"> for global civic engagement</w:t>
      </w:r>
      <w:r>
        <w:rPr>
          <w:color w:val="222222"/>
          <w:shd w:val="clear" w:color="auto" w:fill="FFFFFF"/>
        </w:rPr>
        <w:t xml:space="preserve">. Contemporary globalization has fractured the regulatory order that once privileged states, which has allowed the legitimate mechanics of power to seep toward non-state actors. Through a complex system of assessment regimes, international organizations (IOs) such as the OECD are now projecting norm-based </w:t>
      </w:r>
      <w:r w:rsidR="00214A32">
        <w:rPr>
          <w:rFonts w:eastAsiaTheme="minorEastAsia" w:hint="eastAsia"/>
          <w:color w:val="222222"/>
          <w:shd w:val="clear" w:color="auto" w:fill="FFFFFF"/>
        </w:rPr>
        <w:t xml:space="preserve">transnational human rights enforcement </w:t>
      </w:r>
      <w:r>
        <w:rPr>
          <w:color w:val="222222"/>
          <w:shd w:val="clear" w:color="auto" w:fill="FFFFFF"/>
        </w:rPr>
        <w:t>systems that</w:t>
      </w:r>
      <w:r w:rsidR="00214A32">
        <w:rPr>
          <w:rFonts w:eastAsiaTheme="minorEastAsia" w:hint="eastAsia"/>
          <w:color w:val="222222"/>
          <w:shd w:val="clear" w:color="auto" w:fill="FFFFFF"/>
        </w:rPr>
        <w:t xml:space="preserve"> may</w:t>
      </w:r>
      <w:r>
        <w:rPr>
          <w:color w:val="222222"/>
          <w:shd w:val="clear" w:color="auto" w:fill="FFFFFF"/>
        </w:rPr>
        <w:t xml:space="preserve"> guide the discursive parameters of </w:t>
      </w:r>
      <w:r w:rsidR="00214A32">
        <w:rPr>
          <w:rFonts w:eastAsiaTheme="minorEastAsia" w:hint="eastAsia"/>
          <w:color w:val="222222"/>
          <w:shd w:val="clear" w:color="auto" w:fill="FFFFFF"/>
        </w:rPr>
        <w:t xml:space="preserve">civic education </w:t>
      </w:r>
      <w:r>
        <w:rPr>
          <w:color w:val="222222"/>
          <w:shd w:val="clear" w:color="auto" w:fill="FFFFFF"/>
        </w:rPr>
        <w:t xml:space="preserve">curriculum. The case of Survival International further provides an excellent educational artifact that opens the possibility for a civic pedagogy of participatory global citizenship.   Overall, this article concludes that regulatory power has not only seeped away from states, but IOs </w:t>
      </w:r>
      <w:r w:rsidR="00F31F19">
        <w:rPr>
          <w:color w:val="222222"/>
          <w:shd w:val="clear" w:color="auto" w:fill="FFFFFF"/>
        </w:rPr>
        <w:t xml:space="preserve">and civil society actors </w:t>
      </w:r>
      <w:r>
        <w:rPr>
          <w:color w:val="222222"/>
          <w:shd w:val="clear" w:color="auto" w:fill="FFFFFF"/>
        </w:rPr>
        <w:t xml:space="preserve">are now wielding an immense amount of regulatory power that </w:t>
      </w:r>
      <w:r w:rsidR="00F31F19">
        <w:rPr>
          <w:color w:val="222222"/>
          <w:shd w:val="clear" w:color="auto" w:fill="FFFFFF"/>
        </w:rPr>
        <w:t xml:space="preserve">demands </w:t>
      </w:r>
      <w:r>
        <w:rPr>
          <w:color w:val="222222"/>
          <w:shd w:val="clear" w:color="auto" w:fill="FFFFFF"/>
        </w:rPr>
        <w:t xml:space="preserve">knowledge, curriculum, and education policy </w:t>
      </w:r>
      <w:r w:rsidR="00F31F19">
        <w:rPr>
          <w:color w:val="222222"/>
          <w:shd w:val="clear" w:color="auto" w:fill="FFFFFF"/>
        </w:rPr>
        <w:t>to shift towards the</w:t>
      </w:r>
      <w:r>
        <w:rPr>
          <w:color w:val="222222"/>
          <w:shd w:val="clear" w:color="auto" w:fill="FFFFFF"/>
        </w:rPr>
        <w:t xml:space="preserve"> transnational level</w:t>
      </w:r>
      <w:r w:rsidR="00F31F19">
        <w:rPr>
          <w:color w:val="222222"/>
          <w:shd w:val="clear" w:color="auto" w:fill="FFFFFF"/>
        </w:rPr>
        <w:t xml:space="preserve">. </w:t>
      </w:r>
    </w:p>
    <w:p w14:paraId="1CD69178" w14:textId="77777777" w:rsidR="00F31F19" w:rsidRDefault="00F31F19" w:rsidP="0072798B">
      <w:pPr>
        <w:pStyle w:val="NormalWeb"/>
        <w:spacing w:before="0" w:beforeAutospacing="0" w:after="0" w:afterAutospacing="0"/>
        <w:jc w:val="both"/>
        <w:rPr>
          <w:color w:val="222222"/>
          <w:shd w:val="clear" w:color="auto" w:fill="FFFFFF"/>
        </w:rPr>
      </w:pPr>
    </w:p>
    <w:p w14:paraId="6E975AB8" w14:textId="77777777" w:rsidR="00F31F19" w:rsidRDefault="00F31F19" w:rsidP="0072798B">
      <w:pPr>
        <w:pStyle w:val="NormalWeb"/>
        <w:spacing w:before="0" w:beforeAutospacing="0" w:after="0" w:afterAutospacing="0"/>
        <w:jc w:val="both"/>
      </w:pPr>
      <w:r>
        <w:rPr>
          <w:color w:val="000000"/>
          <w:shd w:val="clear" w:color="auto" w:fill="FFFFFF"/>
        </w:rPr>
        <w:t xml:space="preserve">Indeed, IOs, especially those branded as leading authorities within policy discourse and with the help of civil society actors, are in an extraordinary position to construct new educational standards based on the harmonization of educational norms and teaching practices. Due to these IOs’ ability to confer prestige, and promote stratification, they then have the ability to extraterritorially impose a set of regulatory mechanics onto foreign institutions themselves. They now have the </w:t>
      </w:r>
      <w:r w:rsidRPr="00F31F19">
        <w:rPr>
          <w:i/>
          <w:color w:val="000000"/>
          <w:shd w:val="clear" w:color="auto" w:fill="FFFFFF"/>
        </w:rPr>
        <w:t xml:space="preserve">ethos </w:t>
      </w:r>
      <w:r>
        <w:rPr>
          <w:color w:val="000000"/>
          <w:shd w:val="clear" w:color="auto" w:fill="FFFFFF"/>
        </w:rPr>
        <w:t>to construct a regulatory apparatus based on the</w:t>
      </w:r>
      <w:r w:rsidRPr="00F31F19">
        <w:rPr>
          <w:i/>
          <w:color w:val="000000"/>
          <w:shd w:val="clear" w:color="auto" w:fill="FFFFFF"/>
        </w:rPr>
        <w:t xml:space="preserve"> logos</w:t>
      </w:r>
      <w:r>
        <w:rPr>
          <w:color w:val="000000"/>
          <w:shd w:val="clear" w:color="auto" w:fill="FFFFFF"/>
        </w:rPr>
        <w:t xml:space="preserve"> of those transnational legal systems they construct, and thus promote. The emphasis is not on any fixed forms of disciplinary structure per se, but on a discursive democratic process that allows for substantive and legitimate participation of transnational legal structures by all civil society actors. </w:t>
      </w:r>
    </w:p>
    <w:p w14:paraId="3F80328A" w14:textId="77777777" w:rsidR="00C61C5A" w:rsidRDefault="00C61C5A" w:rsidP="00C61C5A">
      <w:pPr>
        <w:pStyle w:val="NormalWeb"/>
        <w:spacing w:before="0" w:beforeAutospacing="0" w:after="0" w:afterAutospacing="0"/>
      </w:pPr>
    </w:p>
    <w:p w14:paraId="341FAEFA" w14:textId="77777777" w:rsidR="00694C5E" w:rsidRPr="00694C5E" w:rsidRDefault="00694C5E" w:rsidP="00694C5E"/>
    <w:p w14:paraId="3E88744D" w14:textId="77777777" w:rsidR="00835F1A" w:rsidRPr="00694C5E" w:rsidRDefault="00835F1A" w:rsidP="0044042E">
      <w:pPr>
        <w:spacing w:line="240" w:lineRule="auto"/>
        <w:contextualSpacing/>
        <w:jc w:val="both"/>
        <w:rPr>
          <w:rFonts w:ascii="Times New Roman" w:hAnsi="Times New Roman" w:cs="Times New Roman"/>
        </w:rPr>
      </w:pPr>
    </w:p>
    <w:p w14:paraId="13E292C1" w14:textId="77777777" w:rsidR="00835F1A" w:rsidRPr="00694C5E" w:rsidRDefault="00835F1A" w:rsidP="0044042E">
      <w:pPr>
        <w:spacing w:line="240" w:lineRule="auto"/>
        <w:contextualSpacing/>
        <w:jc w:val="both"/>
        <w:rPr>
          <w:rFonts w:ascii="Times New Roman" w:hAnsi="Times New Roman" w:cs="Times New Roman"/>
        </w:rPr>
      </w:pPr>
    </w:p>
    <w:p w14:paraId="7624B55A" w14:textId="77777777" w:rsidR="00ED7C7C" w:rsidRPr="00694C5E" w:rsidRDefault="00ED7C7C" w:rsidP="0044042E">
      <w:pPr>
        <w:spacing w:line="240" w:lineRule="auto"/>
        <w:contextualSpacing/>
        <w:jc w:val="both"/>
        <w:rPr>
          <w:rFonts w:ascii="Times New Roman" w:hAnsi="Times New Roman" w:cs="Times New Roman"/>
        </w:rPr>
      </w:pPr>
    </w:p>
    <w:p w14:paraId="794E2338" w14:textId="77777777" w:rsidR="00ED7C7C" w:rsidRPr="00694C5E" w:rsidRDefault="00ED7C7C" w:rsidP="0044042E">
      <w:pPr>
        <w:spacing w:line="240" w:lineRule="auto"/>
        <w:contextualSpacing/>
        <w:jc w:val="both"/>
        <w:rPr>
          <w:rFonts w:ascii="Times New Roman" w:hAnsi="Times New Roman" w:cs="Times New Roman"/>
        </w:rPr>
      </w:pPr>
    </w:p>
    <w:sectPr w:rsidR="00ED7C7C" w:rsidRPr="00694C5E" w:rsidSect="00F34D15">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EB6DE" w14:textId="77777777" w:rsidR="00F97C4E" w:rsidRDefault="00F97C4E" w:rsidP="00F34D15">
      <w:pPr>
        <w:spacing w:line="240" w:lineRule="auto"/>
      </w:pPr>
      <w:r>
        <w:separator/>
      </w:r>
    </w:p>
  </w:endnote>
  <w:endnote w:type="continuationSeparator" w:id="0">
    <w:p w14:paraId="03B0EF54" w14:textId="77777777" w:rsidR="00F97C4E" w:rsidRDefault="00F97C4E" w:rsidP="00F34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swiss"/>
    <w:pitch w:val="variable"/>
    <w:sig w:usb0="A00002EF" w:usb1="4000207B" w:usb2="00000000" w:usb3="00000000" w:csb0="0000019F" w:csb1="00000000"/>
  </w:font>
  <w:font w:name="Brill">
    <w:altName w:val="Brill"/>
    <w:panose1 w:val="00000000000000000000"/>
    <w:charset w:val="00"/>
    <w:family w:val="roman"/>
    <w:notTrueType/>
    <w:pitch w:val="default"/>
    <w:sig w:usb0="00000003" w:usb1="00000000" w:usb2="00000000" w:usb3="00000000" w:csb0="00000001" w:csb1="00000000"/>
  </w:font>
  <w:font w:name="Trajan Pro">
    <w:altName w:val="Athelas Italic"/>
    <w:charset w:val="00"/>
    <w:family w:val="auto"/>
    <w:pitch w:val="variable"/>
    <w:sig w:usb0="00000007" w:usb1="00000000" w:usb2="00000000" w:usb3="00000000" w:csb0="00000093" w:csb1="00000000"/>
  </w:font>
  <w:font w:name="Charlemagne Std Bold">
    <w:altName w:val="Stencil"/>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79355" w14:textId="77777777" w:rsidR="00F97C4E" w:rsidRDefault="00F97C4E" w:rsidP="00F34D15">
      <w:pPr>
        <w:spacing w:line="240" w:lineRule="auto"/>
      </w:pPr>
      <w:r>
        <w:separator/>
      </w:r>
    </w:p>
  </w:footnote>
  <w:footnote w:type="continuationSeparator" w:id="0">
    <w:p w14:paraId="1DC39C34" w14:textId="77777777" w:rsidR="00F97C4E" w:rsidRDefault="00F97C4E" w:rsidP="00F34D15">
      <w:pPr>
        <w:spacing w:line="240" w:lineRule="auto"/>
      </w:pPr>
      <w:r>
        <w:continuationSeparator/>
      </w:r>
    </w:p>
  </w:footnote>
  <w:footnote w:id="1">
    <w:p w14:paraId="674987E2" w14:textId="77777777" w:rsidR="00694C5E" w:rsidRPr="00417F40" w:rsidRDefault="00694C5E">
      <w:pPr>
        <w:pStyle w:val="FootnoteText"/>
        <w:rPr>
          <w:sz w:val="20"/>
          <w:szCs w:val="20"/>
        </w:rPr>
      </w:pPr>
      <w:r w:rsidRPr="00417F40">
        <w:rPr>
          <w:rStyle w:val="FootnoteReference"/>
          <w:sz w:val="20"/>
          <w:szCs w:val="20"/>
        </w:rPr>
        <w:footnoteRef/>
      </w:r>
      <w:r w:rsidRPr="00417F40">
        <w:rPr>
          <w:sz w:val="20"/>
          <w:szCs w:val="20"/>
        </w:rPr>
        <w:t xml:space="preserve"> </w:t>
      </w:r>
      <w:proofErr w:type="spellStart"/>
      <w:r w:rsidRPr="00417F40">
        <w:rPr>
          <w:sz w:val="20"/>
          <w:szCs w:val="20"/>
        </w:rPr>
        <w:t>Altbach</w:t>
      </w:r>
      <w:proofErr w:type="spellEnd"/>
      <w:r w:rsidRPr="00417F40">
        <w:rPr>
          <w:sz w:val="20"/>
          <w:szCs w:val="20"/>
        </w:rPr>
        <w:t xml:space="preserve"> P. G. (2004). Globalization and the university: Myths and realities in an unequal world. Tertiary Education and Management, 10, 3-25.</w:t>
      </w:r>
    </w:p>
  </w:footnote>
  <w:footnote w:id="2">
    <w:p w14:paraId="0AEEE1D1" w14:textId="77777777" w:rsidR="00694C5E" w:rsidRPr="00417F40" w:rsidRDefault="00694C5E">
      <w:pPr>
        <w:pStyle w:val="FootnoteText"/>
        <w:rPr>
          <w:sz w:val="20"/>
          <w:szCs w:val="20"/>
        </w:rPr>
      </w:pPr>
      <w:r w:rsidRPr="00417F40">
        <w:rPr>
          <w:rStyle w:val="FootnoteReference"/>
          <w:sz w:val="20"/>
          <w:szCs w:val="20"/>
        </w:rPr>
        <w:footnoteRef/>
      </w:r>
      <w:r w:rsidRPr="00417F40">
        <w:rPr>
          <w:sz w:val="20"/>
          <w:szCs w:val="20"/>
        </w:rPr>
        <w:t xml:space="preserve"> </w:t>
      </w:r>
      <w:proofErr w:type="gramStart"/>
      <w:r w:rsidRPr="00417F40">
        <w:rPr>
          <w:sz w:val="20"/>
          <w:szCs w:val="20"/>
        </w:rPr>
        <w:t>Institute of International Education.</w:t>
      </w:r>
      <w:proofErr w:type="gramEnd"/>
      <w:r w:rsidRPr="00417F40">
        <w:rPr>
          <w:sz w:val="20"/>
          <w:szCs w:val="20"/>
        </w:rPr>
        <w:t xml:space="preserve"> (IIE) (2013a). "International Students by Field of Study, 2011/2012 - 2012/13." Open Doors Report on International Educational Exchange. Retrieved from http://www.iie.org/opendoors</w:t>
      </w:r>
    </w:p>
  </w:footnote>
  <w:footnote w:id="3">
    <w:p w14:paraId="0959B3F2" w14:textId="77777777" w:rsidR="00694C5E" w:rsidRPr="00417F40" w:rsidRDefault="00694C5E" w:rsidP="00AB4556">
      <w:pPr>
        <w:jc w:val="both"/>
        <w:rPr>
          <w:rFonts w:ascii="Times New Roman" w:eastAsiaTheme="minorEastAsia" w:hAnsi="Times New Roman" w:cs="Times New Roman"/>
          <w:sz w:val="20"/>
          <w:lang w:eastAsia="zh-CN"/>
        </w:rPr>
      </w:pPr>
      <w:r w:rsidRPr="00417F40">
        <w:rPr>
          <w:rStyle w:val="FootnoteReference"/>
          <w:rFonts w:ascii="Times New Roman" w:hAnsi="Times New Roman" w:cs="Times New Roman"/>
          <w:sz w:val="20"/>
        </w:rPr>
        <w:footnoteRef/>
      </w:r>
      <w:r w:rsidRPr="00417F40">
        <w:rPr>
          <w:rFonts w:ascii="Times New Roman" w:hAnsi="Times New Roman" w:cs="Times New Roman"/>
          <w:sz w:val="20"/>
        </w:rPr>
        <w:t xml:space="preserve"> Fernando </w:t>
      </w:r>
      <w:proofErr w:type="spellStart"/>
      <w:r w:rsidRPr="00417F40">
        <w:rPr>
          <w:rFonts w:ascii="Times New Roman" w:hAnsi="Times New Roman" w:cs="Times New Roman"/>
          <w:sz w:val="20"/>
        </w:rPr>
        <w:t>Reimers</w:t>
      </w:r>
      <w:proofErr w:type="spellEnd"/>
      <w:r w:rsidR="0072045A" w:rsidRPr="00417F40">
        <w:rPr>
          <w:rFonts w:ascii="Times New Roman" w:eastAsiaTheme="minorEastAsia" w:hAnsi="Times New Roman" w:cs="Times New Roman" w:hint="eastAsia"/>
          <w:sz w:val="20"/>
          <w:lang w:eastAsia="zh-CN"/>
        </w:rPr>
        <w:t xml:space="preserve">, </w:t>
      </w:r>
      <w:r w:rsidRPr="00417F40">
        <w:rPr>
          <w:rFonts w:ascii="Times New Roman" w:eastAsiaTheme="minorEastAsia" w:hAnsi="Times New Roman" w:cs="Times New Roman"/>
          <w:sz w:val="20"/>
          <w:lang w:eastAsia="zh-CN"/>
        </w:rPr>
        <w:t>“Citizenship, Identity And Education: Examining The Public Purposes Of Schools In An Age Of Globalization”</w:t>
      </w:r>
      <w:r w:rsidRPr="00417F40">
        <w:rPr>
          <w:rFonts w:ascii="Times New Roman" w:hAnsi="Times New Roman" w:cs="Times New Roman"/>
          <w:i/>
          <w:sz w:val="20"/>
        </w:rPr>
        <w:t xml:space="preserve"> Prospects, </w:t>
      </w:r>
      <w:r w:rsidRPr="00417F40">
        <w:rPr>
          <w:rFonts w:ascii="Times New Roman" w:hAnsi="Times New Roman" w:cs="Times New Roman"/>
          <w:sz w:val="20"/>
        </w:rPr>
        <w:t>vol. XXXVI, no. 3, September 2006</w:t>
      </w:r>
      <w:r w:rsidRPr="00417F40">
        <w:rPr>
          <w:rFonts w:ascii="Times New Roman" w:eastAsiaTheme="minorEastAsia" w:hAnsi="Times New Roman" w:cs="Times New Roman"/>
          <w:sz w:val="20"/>
          <w:lang w:eastAsia="zh-CN"/>
        </w:rPr>
        <w:t xml:space="preserve"> at p.276.</w:t>
      </w:r>
    </w:p>
  </w:footnote>
  <w:footnote w:id="4">
    <w:p w14:paraId="5158F40D" w14:textId="77777777" w:rsidR="00694C5E" w:rsidRPr="00417F40" w:rsidRDefault="00694C5E" w:rsidP="00066985">
      <w:pPr>
        <w:jc w:val="both"/>
        <w:rPr>
          <w:rFonts w:ascii="Times New Roman" w:eastAsia="Georgia"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r w:rsidRPr="00417F40">
        <w:rPr>
          <w:rFonts w:ascii="Times New Roman" w:eastAsia="Georgia" w:hAnsi="Times New Roman" w:cs="Times New Roman"/>
          <w:sz w:val="20"/>
          <w:highlight w:val="white"/>
        </w:rPr>
        <w:t xml:space="preserve">Peters, Michael, Britton, </w:t>
      </w:r>
      <w:proofErr w:type="spellStart"/>
      <w:r w:rsidRPr="00417F40">
        <w:rPr>
          <w:rFonts w:ascii="Times New Roman" w:eastAsia="Georgia" w:hAnsi="Times New Roman" w:cs="Times New Roman"/>
          <w:sz w:val="20"/>
          <w:highlight w:val="white"/>
        </w:rPr>
        <w:t>Alan</w:t>
      </w:r>
      <w:proofErr w:type="gramStart"/>
      <w:r w:rsidRPr="00417F40">
        <w:rPr>
          <w:rFonts w:ascii="Times New Roman" w:eastAsia="Georgia" w:hAnsi="Times New Roman" w:cs="Times New Roman"/>
          <w:sz w:val="20"/>
          <w:highlight w:val="white"/>
        </w:rPr>
        <w:t>,Blee</w:t>
      </w:r>
      <w:proofErr w:type="spellEnd"/>
      <w:proofErr w:type="gramEnd"/>
      <w:r w:rsidRPr="00417F40">
        <w:rPr>
          <w:rFonts w:ascii="Times New Roman" w:eastAsia="Georgia" w:hAnsi="Times New Roman" w:cs="Times New Roman"/>
          <w:sz w:val="20"/>
          <w:highlight w:val="white"/>
        </w:rPr>
        <w:t xml:space="preserve">, Harry. “Introduction” in </w:t>
      </w:r>
      <w:r w:rsidRPr="00417F40">
        <w:rPr>
          <w:rFonts w:ascii="Times New Roman" w:eastAsia="Georgia" w:hAnsi="Times New Roman" w:cs="Times New Roman"/>
          <w:i/>
          <w:sz w:val="20"/>
          <w:highlight w:val="white"/>
        </w:rPr>
        <w:t>Global citizenship education: Philosophy, theory and pedagogy</w:t>
      </w:r>
      <w:r w:rsidRPr="00417F40">
        <w:rPr>
          <w:rFonts w:ascii="Times New Roman" w:eastAsia="Georgia" w:hAnsi="Times New Roman" w:cs="Times New Roman"/>
          <w:sz w:val="20"/>
          <w:highlight w:val="white"/>
        </w:rPr>
        <w:t>. Rotterdam: Sense Publishers, 2008, 1-2</w:t>
      </w:r>
    </w:p>
    <w:p w14:paraId="5C9765D8" w14:textId="77777777" w:rsidR="00694C5E" w:rsidRPr="00417F40" w:rsidRDefault="00694C5E" w:rsidP="00066985">
      <w:pPr>
        <w:jc w:val="both"/>
        <w:rPr>
          <w:rFonts w:ascii="Times New Roman" w:hAnsi="Times New Roman" w:cs="Times New Roman"/>
          <w:sz w:val="20"/>
        </w:rPr>
      </w:pPr>
    </w:p>
  </w:footnote>
  <w:footnote w:id="5">
    <w:p w14:paraId="372B087B" w14:textId="77777777" w:rsidR="00694C5E" w:rsidRPr="00417F40" w:rsidRDefault="00694C5E" w:rsidP="008C3619">
      <w:pPr>
        <w:spacing w:line="240" w:lineRule="auto"/>
        <w:rPr>
          <w:rFonts w:ascii="Times New Roman" w:eastAsia="Georgia"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r w:rsidRPr="00417F40">
        <w:rPr>
          <w:rFonts w:ascii="Times New Roman" w:eastAsia="Georgia" w:hAnsi="Times New Roman" w:cs="Times New Roman"/>
          <w:sz w:val="20"/>
          <w:highlight w:val="white"/>
        </w:rPr>
        <w:t xml:space="preserve">Thomas Hobbes, </w:t>
      </w:r>
      <w:r w:rsidRPr="00417F40">
        <w:rPr>
          <w:rFonts w:ascii="Times New Roman" w:eastAsia="Georgia" w:hAnsi="Times New Roman" w:cs="Times New Roman"/>
          <w:i/>
          <w:sz w:val="20"/>
          <w:highlight w:val="white"/>
        </w:rPr>
        <w:t xml:space="preserve">Leviathan: Or the Matter, </w:t>
      </w:r>
      <w:proofErr w:type="spellStart"/>
      <w:r w:rsidRPr="00417F40">
        <w:rPr>
          <w:rFonts w:ascii="Times New Roman" w:eastAsia="Georgia" w:hAnsi="Times New Roman" w:cs="Times New Roman"/>
          <w:i/>
          <w:sz w:val="20"/>
          <w:highlight w:val="white"/>
        </w:rPr>
        <w:t>Forme</w:t>
      </w:r>
      <w:proofErr w:type="spellEnd"/>
      <w:r w:rsidRPr="00417F40">
        <w:rPr>
          <w:rFonts w:ascii="Times New Roman" w:eastAsia="Georgia" w:hAnsi="Times New Roman" w:cs="Times New Roman"/>
          <w:i/>
          <w:sz w:val="20"/>
          <w:highlight w:val="white"/>
        </w:rPr>
        <w:t xml:space="preserve">, and Power of a Common-Wealth </w:t>
      </w:r>
      <w:proofErr w:type="spellStart"/>
      <w:r w:rsidRPr="00417F40">
        <w:rPr>
          <w:rFonts w:ascii="Times New Roman" w:eastAsia="Georgia" w:hAnsi="Times New Roman" w:cs="Times New Roman"/>
          <w:i/>
          <w:sz w:val="20"/>
          <w:highlight w:val="white"/>
        </w:rPr>
        <w:t>Ecclesiasticall</w:t>
      </w:r>
      <w:proofErr w:type="spellEnd"/>
      <w:r w:rsidRPr="00417F40">
        <w:rPr>
          <w:rFonts w:ascii="Times New Roman" w:eastAsia="Georgia" w:hAnsi="Times New Roman" w:cs="Times New Roman"/>
          <w:i/>
          <w:sz w:val="20"/>
          <w:highlight w:val="white"/>
        </w:rPr>
        <w:t xml:space="preserve"> and </w:t>
      </w:r>
      <w:proofErr w:type="spellStart"/>
      <w:r w:rsidRPr="00417F40">
        <w:rPr>
          <w:rFonts w:ascii="Times New Roman" w:eastAsia="Georgia" w:hAnsi="Times New Roman" w:cs="Times New Roman"/>
          <w:i/>
          <w:sz w:val="20"/>
          <w:highlight w:val="white"/>
        </w:rPr>
        <w:t>Civill</w:t>
      </w:r>
      <w:proofErr w:type="spellEnd"/>
      <w:r w:rsidRPr="00417F40">
        <w:rPr>
          <w:rFonts w:ascii="Times New Roman" w:eastAsia="Georgia" w:hAnsi="Times New Roman" w:cs="Times New Roman"/>
          <w:sz w:val="20"/>
          <w:highlight w:val="white"/>
        </w:rPr>
        <w:t>, ed. by Ian Shapiro (Yale University Press; 2010), Part I.</w:t>
      </w:r>
    </w:p>
    <w:p w14:paraId="08F11793" w14:textId="77777777" w:rsidR="00694C5E" w:rsidRPr="00417F40" w:rsidRDefault="00694C5E" w:rsidP="008C3619">
      <w:pPr>
        <w:spacing w:line="240" w:lineRule="auto"/>
        <w:rPr>
          <w:rFonts w:ascii="Times New Roman" w:hAnsi="Times New Roman" w:cs="Times New Roman"/>
          <w:sz w:val="20"/>
        </w:rPr>
      </w:pPr>
    </w:p>
  </w:footnote>
  <w:footnote w:id="6">
    <w:p w14:paraId="2422216B" w14:textId="77777777" w:rsidR="00694C5E" w:rsidRPr="00417F40" w:rsidRDefault="00694C5E" w:rsidP="008C3619">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r w:rsidRPr="00417F40">
        <w:rPr>
          <w:rFonts w:ascii="Times New Roman" w:eastAsia="Georgia" w:hAnsi="Times New Roman" w:cs="Times New Roman"/>
          <w:sz w:val="20"/>
          <w:highlight w:val="white"/>
        </w:rPr>
        <w:t>Peters et al., Peters, 1-3.</w:t>
      </w:r>
    </w:p>
  </w:footnote>
  <w:footnote w:id="7">
    <w:p w14:paraId="4C68D67E" w14:textId="77777777" w:rsidR="00694C5E" w:rsidRPr="00417F40" w:rsidRDefault="00694C5E" w:rsidP="008C3619">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r w:rsidRPr="00417F40">
        <w:rPr>
          <w:rFonts w:ascii="Times New Roman" w:eastAsia="Times New Roman" w:hAnsi="Times New Roman" w:cs="Times New Roman"/>
          <w:sz w:val="20"/>
          <w:highlight w:val="white"/>
        </w:rPr>
        <w:t>Peters et al., 4.</w:t>
      </w:r>
      <w:r w:rsidRPr="00417F40">
        <w:rPr>
          <w:rFonts w:ascii="Times New Roman" w:eastAsia="Times New Roman" w:hAnsi="Times New Roman" w:cs="Times New Roman"/>
          <w:sz w:val="20"/>
        </w:rPr>
        <w:t xml:space="preserve"> d</w:t>
      </w:r>
    </w:p>
  </w:footnote>
  <w:footnote w:id="8">
    <w:p w14:paraId="6CF98AB2" w14:textId="77777777" w:rsidR="00694C5E" w:rsidRPr="00417F40" w:rsidRDefault="00694C5E" w:rsidP="008C3619">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r w:rsidRPr="00417F40">
        <w:rPr>
          <w:rFonts w:ascii="Times New Roman" w:eastAsia="Times New Roman" w:hAnsi="Times New Roman" w:cs="Times New Roman"/>
          <w:sz w:val="20"/>
          <w:highlight w:val="white"/>
        </w:rPr>
        <w:t>Peters et al., 9-10.</w:t>
      </w:r>
    </w:p>
  </w:footnote>
  <w:footnote w:id="9">
    <w:p w14:paraId="3C4AB039" w14:textId="77777777" w:rsidR="00694C5E" w:rsidRPr="00417F40" w:rsidRDefault="00694C5E" w:rsidP="008C3619">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r w:rsidRPr="00417F40">
        <w:rPr>
          <w:rFonts w:ascii="Times New Roman" w:eastAsia="Times New Roman" w:hAnsi="Times New Roman" w:cs="Times New Roman"/>
          <w:sz w:val="20"/>
          <w:highlight w:val="white"/>
        </w:rPr>
        <w:t>Peters et al., 10.</w:t>
      </w:r>
    </w:p>
  </w:footnote>
  <w:footnote w:id="10">
    <w:p w14:paraId="1857415E" w14:textId="77777777" w:rsidR="00694C5E" w:rsidRPr="00417F40" w:rsidRDefault="00694C5E" w:rsidP="00CE285D">
      <w:pPr>
        <w:pStyle w:val="FootnoteText"/>
        <w:rPr>
          <w:rFonts w:eastAsia="Times New Roman"/>
          <w:sz w:val="20"/>
          <w:szCs w:val="20"/>
        </w:rPr>
      </w:pPr>
      <w:r w:rsidRPr="00417F40">
        <w:rPr>
          <w:rStyle w:val="FootnoteReference"/>
          <w:sz w:val="20"/>
          <w:szCs w:val="20"/>
        </w:rPr>
        <w:footnoteRef/>
      </w:r>
      <w:r w:rsidRPr="00417F40">
        <w:rPr>
          <w:sz w:val="20"/>
          <w:szCs w:val="20"/>
        </w:rPr>
        <w:t xml:space="preserve"> </w:t>
      </w:r>
      <w:proofErr w:type="gramStart"/>
      <w:r w:rsidRPr="00417F40">
        <w:rPr>
          <w:rFonts w:eastAsia="Times New Roman"/>
          <w:sz w:val="20"/>
          <w:szCs w:val="20"/>
        </w:rPr>
        <w:t>Jean-Luc Nancy, “Finite and Infinite Democracy” in Democracy in What State?</w:t>
      </w:r>
      <w:proofErr w:type="gramEnd"/>
      <w:r w:rsidRPr="00417F40">
        <w:rPr>
          <w:rFonts w:eastAsia="Times New Roman"/>
          <w:sz w:val="20"/>
          <w:szCs w:val="20"/>
        </w:rPr>
        <w:t xml:space="preserve"> (New York: Columbia, 2010), 58-75, </w:t>
      </w:r>
      <w:proofErr w:type="gramStart"/>
      <w:r w:rsidRPr="00417F40">
        <w:rPr>
          <w:rFonts w:eastAsia="Times New Roman"/>
          <w:sz w:val="20"/>
          <w:szCs w:val="20"/>
        </w:rPr>
        <w:t xml:space="preserve">at </w:t>
      </w:r>
      <w:r w:rsidRPr="00417F40">
        <w:rPr>
          <w:rFonts w:eastAsia="Times New Roman"/>
          <w:sz w:val="20"/>
          <w:szCs w:val="20"/>
          <w:highlight w:val="white"/>
        </w:rPr>
        <w:t xml:space="preserve"> 67</w:t>
      </w:r>
      <w:proofErr w:type="gramEnd"/>
      <w:r w:rsidRPr="00417F40">
        <w:rPr>
          <w:rFonts w:eastAsia="Times New Roman"/>
          <w:sz w:val="20"/>
          <w:szCs w:val="20"/>
          <w:highlight w:val="white"/>
        </w:rPr>
        <w:t>.</w:t>
      </w:r>
    </w:p>
  </w:footnote>
  <w:footnote w:id="11">
    <w:p w14:paraId="667371A3" w14:textId="77777777" w:rsidR="00694C5E" w:rsidRPr="00417F40" w:rsidRDefault="00694C5E" w:rsidP="008C3619">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r w:rsidRPr="00417F40">
        <w:rPr>
          <w:rFonts w:ascii="Times New Roman" w:eastAsia="Times New Roman" w:hAnsi="Times New Roman" w:cs="Times New Roman"/>
          <w:sz w:val="20"/>
          <w:highlight w:val="white"/>
        </w:rPr>
        <w:t>Ibid.</w:t>
      </w:r>
    </w:p>
  </w:footnote>
  <w:footnote w:id="12">
    <w:p w14:paraId="75DB66C8" w14:textId="77777777" w:rsidR="00694C5E" w:rsidRPr="00417F40" w:rsidRDefault="00694C5E" w:rsidP="008C3619">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r w:rsidRPr="00417F40">
        <w:rPr>
          <w:rFonts w:ascii="Times New Roman" w:eastAsia="Times New Roman" w:hAnsi="Times New Roman" w:cs="Times New Roman"/>
          <w:sz w:val="20"/>
          <w:highlight w:val="white"/>
        </w:rPr>
        <w:t>Jean-Luc Nancy, 71.</w:t>
      </w:r>
    </w:p>
  </w:footnote>
  <w:footnote w:id="13">
    <w:p w14:paraId="7D030E6C" w14:textId="77777777" w:rsidR="00694C5E" w:rsidRPr="00417F40" w:rsidRDefault="00694C5E" w:rsidP="008C3619">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r w:rsidRPr="00417F40">
        <w:rPr>
          <w:rFonts w:ascii="Times New Roman" w:eastAsia="Times New Roman" w:hAnsi="Times New Roman" w:cs="Times New Roman"/>
          <w:sz w:val="20"/>
          <w:highlight w:val="white"/>
        </w:rPr>
        <w:t>Jean-Luc Nancy, 72.</w:t>
      </w:r>
    </w:p>
  </w:footnote>
  <w:footnote w:id="14">
    <w:p w14:paraId="794D4A87" w14:textId="77777777" w:rsidR="00694C5E" w:rsidRPr="00417F40" w:rsidRDefault="00694C5E" w:rsidP="008C3619">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Ibid.</w:t>
      </w:r>
    </w:p>
  </w:footnote>
  <w:footnote w:id="15">
    <w:p w14:paraId="253122A4" w14:textId="77777777" w:rsidR="00694C5E" w:rsidRPr="00417F40" w:rsidRDefault="00694C5E" w:rsidP="008C3619">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proofErr w:type="spellStart"/>
      <w:r w:rsidRPr="00417F40">
        <w:rPr>
          <w:rFonts w:ascii="Times New Roman" w:eastAsia="Times New Roman" w:hAnsi="Times New Roman" w:cs="Times New Roman"/>
          <w:sz w:val="20"/>
          <w:highlight w:val="white"/>
        </w:rPr>
        <w:t>Fanghanel</w:t>
      </w:r>
      <w:proofErr w:type="spellEnd"/>
      <w:r w:rsidRPr="00417F40">
        <w:rPr>
          <w:rFonts w:ascii="Times New Roman" w:eastAsia="Times New Roman" w:hAnsi="Times New Roman" w:cs="Times New Roman"/>
          <w:sz w:val="20"/>
          <w:highlight w:val="white"/>
        </w:rPr>
        <w:t xml:space="preserve">, </w:t>
      </w:r>
      <w:proofErr w:type="spellStart"/>
      <w:r w:rsidRPr="00417F40">
        <w:rPr>
          <w:rFonts w:ascii="Times New Roman" w:eastAsia="Times New Roman" w:hAnsi="Times New Roman" w:cs="Times New Roman"/>
          <w:sz w:val="20"/>
          <w:highlight w:val="white"/>
        </w:rPr>
        <w:t>Joëlle</w:t>
      </w:r>
      <w:proofErr w:type="spellEnd"/>
      <w:r w:rsidRPr="00417F40">
        <w:rPr>
          <w:rFonts w:ascii="Times New Roman" w:eastAsia="Times New Roman" w:hAnsi="Times New Roman" w:cs="Times New Roman"/>
          <w:sz w:val="20"/>
          <w:highlight w:val="white"/>
        </w:rPr>
        <w:t xml:space="preserve"> (2012). "'Worldly' pedagogy: a way of </w:t>
      </w:r>
      <w:proofErr w:type="spellStart"/>
      <w:r w:rsidRPr="00417F40">
        <w:rPr>
          <w:rFonts w:ascii="Times New Roman" w:eastAsia="Times New Roman" w:hAnsi="Times New Roman" w:cs="Times New Roman"/>
          <w:sz w:val="20"/>
          <w:highlight w:val="white"/>
        </w:rPr>
        <w:t>conceptualising</w:t>
      </w:r>
      <w:proofErr w:type="spellEnd"/>
      <w:r w:rsidRPr="00417F40">
        <w:rPr>
          <w:rFonts w:ascii="Times New Roman" w:eastAsia="Times New Roman" w:hAnsi="Times New Roman" w:cs="Times New Roman"/>
          <w:sz w:val="20"/>
          <w:highlight w:val="white"/>
        </w:rPr>
        <w:t xml:space="preserve"> teaching towards global citizenship". </w:t>
      </w:r>
      <w:r w:rsidRPr="00417F40">
        <w:rPr>
          <w:rFonts w:ascii="Times New Roman" w:eastAsia="Times New Roman" w:hAnsi="Times New Roman" w:cs="Times New Roman"/>
          <w:i/>
          <w:sz w:val="20"/>
          <w:highlight w:val="white"/>
        </w:rPr>
        <w:t xml:space="preserve">Teaching in higher education, </w:t>
      </w:r>
      <w:r w:rsidRPr="00417F40">
        <w:rPr>
          <w:rFonts w:ascii="Times New Roman" w:eastAsia="Times New Roman" w:hAnsi="Times New Roman" w:cs="Times New Roman"/>
          <w:sz w:val="20"/>
          <w:highlight w:val="white"/>
        </w:rPr>
        <w:t>17 (1), 2013, 39-50.</w:t>
      </w:r>
    </w:p>
  </w:footnote>
  <w:footnote w:id="16">
    <w:p w14:paraId="690AC252" w14:textId="77777777" w:rsidR="00694C5E" w:rsidRPr="00417F40" w:rsidRDefault="00694C5E" w:rsidP="00CE285D">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proofErr w:type="spellStart"/>
      <w:r w:rsidRPr="00417F40">
        <w:rPr>
          <w:rFonts w:ascii="Times New Roman" w:eastAsia="Georgia" w:hAnsi="Times New Roman" w:cs="Times New Roman"/>
          <w:sz w:val="20"/>
          <w:highlight w:val="white"/>
        </w:rPr>
        <w:t>Appiah</w:t>
      </w:r>
      <w:proofErr w:type="spellEnd"/>
      <w:r w:rsidRPr="00417F40">
        <w:rPr>
          <w:rFonts w:ascii="Times New Roman" w:eastAsia="Georgia" w:hAnsi="Times New Roman" w:cs="Times New Roman"/>
          <w:sz w:val="20"/>
          <w:highlight w:val="white"/>
        </w:rPr>
        <w:t xml:space="preserve">, Kwame. “Chapter 6: Education for Global Citizenship.” </w:t>
      </w:r>
      <w:r w:rsidRPr="00417F40">
        <w:rPr>
          <w:rFonts w:ascii="Times New Roman" w:eastAsia="Georgia" w:hAnsi="Times New Roman" w:cs="Times New Roman"/>
          <w:i/>
          <w:sz w:val="20"/>
          <w:highlight w:val="white"/>
        </w:rPr>
        <w:t xml:space="preserve">The Yearbook of the National Society for the Study of Education </w:t>
      </w:r>
      <w:r w:rsidRPr="00417F40">
        <w:rPr>
          <w:rFonts w:ascii="Times New Roman" w:eastAsia="Georgia" w:hAnsi="Times New Roman" w:cs="Times New Roman"/>
          <w:sz w:val="20"/>
          <w:highlight w:val="white"/>
        </w:rPr>
        <w:t>107, no. 1, 83-99 (April 01, 2008), at 1-2.</w:t>
      </w:r>
    </w:p>
  </w:footnote>
  <w:footnote w:id="17">
    <w:p w14:paraId="5CCDAE56" w14:textId="77777777" w:rsidR="00694C5E" w:rsidRPr="00417F40" w:rsidRDefault="00694C5E" w:rsidP="00CE285D">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vertAlign w:val="superscript"/>
        </w:rPr>
        <w:t xml:space="preserve"> </w:t>
      </w:r>
      <w:proofErr w:type="spellStart"/>
      <w:r w:rsidRPr="00417F40">
        <w:rPr>
          <w:rFonts w:ascii="Times New Roman" w:eastAsia="Georgia" w:hAnsi="Times New Roman" w:cs="Times New Roman"/>
          <w:sz w:val="20"/>
          <w:highlight w:val="white"/>
        </w:rPr>
        <w:t>Appiah</w:t>
      </w:r>
      <w:proofErr w:type="spellEnd"/>
      <w:r w:rsidRPr="00417F40">
        <w:rPr>
          <w:rFonts w:ascii="Times New Roman" w:eastAsia="Georgia" w:hAnsi="Times New Roman" w:cs="Times New Roman"/>
          <w:sz w:val="20"/>
          <w:highlight w:val="white"/>
        </w:rPr>
        <w:t>, 86.</w:t>
      </w:r>
    </w:p>
  </w:footnote>
  <w:footnote w:id="18">
    <w:p w14:paraId="59A5FE52" w14:textId="77777777" w:rsidR="00694C5E" w:rsidRPr="00417F40" w:rsidRDefault="00694C5E" w:rsidP="00CE285D">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vertAlign w:val="superscript"/>
        </w:rPr>
        <w:t xml:space="preserve"> </w:t>
      </w:r>
      <w:r w:rsidRPr="00417F40">
        <w:rPr>
          <w:rFonts w:ascii="Times New Roman" w:eastAsia="Georgia" w:hAnsi="Times New Roman" w:cs="Times New Roman"/>
          <w:sz w:val="20"/>
          <w:highlight w:val="white"/>
        </w:rPr>
        <w:t>Ibid</w:t>
      </w:r>
      <w:proofErr w:type="gramStart"/>
      <w:r w:rsidRPr="00417F40">
        <w:rPr>
          <w:rFonts w:ascii="Times New Roman" w:eastAsia="Georgia" w:hAnsi="Times New Roman" w:cs="Times New Roman"/>
          <w:sz w:val="20"/>
          <w:highlight w:val="white"/>
        </w:rPr>
        <w:t>.,</w:t>
      </w:r>
      <w:proofErr w:type="gramEnd"/>
      <w:r w:rsidRPr="00417F40">
        <w:rPr>
          <w:rFonts w:ascii="Times New Roman" w:eastAsia="Georgia" w:hAnsi="Times New Roman" w:cs="Times New Roman"/>
          <w:sz w:val="20"/>
          <w:highlight w:val="white"/>
        </w:rPr>
        <w:t xml:space="preserve"> 87.</w:t>
      </w:r>
    </w:p>
  </w:footnote>
  <w:footnote w:id="19">
    <w:p w14:paraId="501A6AE7" w14:textId="77777777" w:rsidR="00694C5E" w:rsidRPr="00417F40" w:rsidRDefault="00694C5E" w:rsidP="00CE285D">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Ibid</w:t>
      </w:r>
      <w:proofErr w:type="gramStart"/>
      <w:r w:rsidRPr="00417F40">
        <w:rPr>
          <w:rFonts w:ascii="Times New Roman" w:hAnsi="Times New Roman" w:cs="Times New Roman"/>
          <w:sz w:val="20"/>
        </w:rPr>
        <w:t>.,</w:t>
      </w:r>
      <w:proofErr w:type="gramEnd"/>
      <w:r w:rsidRPr="00417F40">
        <w:rPr>
          <w:rFonts w:ascii="Times New Roman" w:hAnsi="Times New Roman" w:cs="Times New Roman"/>
          <w:sz w:val="20"/>
        </w:rPr>
        <w:t xml:space="preserve"> 94-95.</w:t>
      </w:r>
    </w:p>
  </w:footnote>
  <w:footnote w:id="20">
    <w:p w14:paraId="2083F4F7" w14:textId="77777777" w:rsidR="00694C5E" w:rsidRPr="00417F40" w:rsidRDefault="00694C5E" w:rsidP="00CE285D">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vertAlign w:val="superscript"/>
        </w:rPr>
        <w:t xml:space="preserve"> </w:t>
      </w:r>
      <w:r w:rsidRPr="00417F40">
        <w:rPr>
          <w:rFonts w:ascii="Times New Roman" w:hAnsi="Times New Roman" w:cs="Times New Roman"/>
          <w:sz w:val="20"/>
        </w:rPr>
        <w:t>Ibid</w:t>
      </w:r>
      <w:proofErr w:type="gramStart"/>
      <w:r w:rsidRPr="00417F40">
        <w:rPr>
          <w:rFonts w:ascii="Times New Roman" w:hAnsi="Times New Roman" w:cs="Times New Roman"/>
          <w:sz w:val="20"/>
        </w:rPr>
        <w:t>.,</w:t>
      </w:r>
      <w:proofErr w:type="gramEnd"/>
      <w:r w:rsidRPr="00417F40">
        <w:rPr>
          <w:rFonts w:ascii="Times New Roman" w:hAnsi="Times New Roman" w:cs="Times New Roman"/>
          <w:sz w:val="20"/>
        </w:rPr>
        <w:t xml:space="preserve"> 95-96.</w:t>
      </w:r>
    </w:p>
  </w:footnote>
  <w:footnote w:id="21">
    <w:p w14:paraId="0159616E" w14:textId="77777777" w:rsidR="00694C5E" w:rsidRPr="00417F40" w:rsidRDefault="00694C5E" w:rsidP="00C60733">
      <w:pPr>
        <w:pStyle w:val="NormalWeb"/>
        <w:spacing w:before="0" w:beforeAutospacing="0" w:after="0" w:afterAutospacing="0"/>
        <w:jc w:val="both"/>
        <w:rPr>
          <w:sz w:val="20"/>
          <w:szCs w:val="20"/>
        </w:rPr>
      </w:pPr>
      <w:r w:rsidRPr="00E52BF4">
        <w:rPr>
          <w:rStyle w:val="FootnoteReference"/>
          <w:sz w:val="20"/>
          <w:szCs w:val="20"/>
        </w:rPr>
        <w:footnoteRef/>
      </w:r>
      <w:r w:rsidRPr="00417F40">
        <w:rPr>
          <w:sz w:val="20"/>
          <w:szCs w:val="20"/>
        </w:rPr>
        <w:t xml:space="preserve"> </w:t>
      </w:r>
      <w:r w:rsidRPr="00417F40">
        <w:rPr>
          <w:color w:val="000000"/>
          <w:sz w:val="20"/>
          <w:szCs w:val="20"/>
          <w:shd w:val="clear" w:color="auto" w:fill="FFFFFF"/>
        </w:rPr>
        <w:t>The concept of “</w:t>
      </w:r>
      <w:proofErr w:type="spellStart"/>
      <w:r w:rsidRPr="00417F40">
        <w:rPr>
          <w:color w:val="000000"/>
          <w:sz w:val="20"/>
          <w:szCs w:val="20"/>
          <w:shd w:val="clear" w:color="auto" w:fill="FFFFFF"/>
        </w:rPr>
        <w:t>polycentic</w:t>
      </w:r>
      <w:proofErr w:type="spellEnd"/>
      <w:r w:rsidRPr="00417F40">
        <w:rPr>
          <w:color w:val="000000"/>
          <w:sz w:val="20"/>
          <w:szCs w:val="20"/>
          <w:shd w:val="clear" w:color="auto" w:fill="FFFFFF"/>
        </w:rPr>
        <w:t xml:space="preserve"> globalization” is shared by diverse camps of scholars in the globalization discourse, “neo-</w:t>
      </w:r>
      <w:proofErr w:type="spellStart"/>
      <w:r w:rsidRPr="00417F40">
        <w:rPr>
          <w:color w:val="000000"/>
          <w:sz w:val="20"/>
          <w:szCs w:val="20"/>
          <w:shd w:val="clear" w:color="auto" w:fill="FFFFFF"/>
        </w:rPr>
        <w:t>institutionalist</w:t>
      </w:r>
      <w:proofErr w:type="spellEnd"/>
      <w:r w:rsidRPr="00417F40">
        <w:rPr>
          <w:color w:val="000000"/>
          <w:sz w:val="20"/>
          <w:szCs w:val="20"/>
          <w:shd w:val="clear" w:color="auto" w:fill="FFFFFF"/>
        </w:rPr>
        <w:t xml:space="preserve">” perspective on “global culture (e.g. JW Meyer, J </w:t>
      </w:r>
      <w:proofErr w:type="spellStart"/>
      <w:r w:rsidRPr="00417F40">
        <w:rPr>
          <w:color w:val="000000"/>
          <w:sz w:val="20"/>
          <w:szCs w:val="20"/>
          <w:shd w:val="clear" w:color="auto" w:fill="FFFFFF"/>
        </w:rPr>
        <w:t>Boli</w:t>
      </w:r>
      <w:proofErr w:type="spellEnd"/>
      <w:r w:rsidRPr="00417F40">
        <w:rPr>
          <w:color w:val="000000"/>
          <w:sz w:val="20"/>
          <w:szCs w:val="20"/>
          <w:shd w:val="clear" w:color="auto" w:fill="FFFFFF"/>
        </w:rPr>
        <w:t xml:space="preserve">, GM Thomas and FO Ramirez, "World Society and the Nation-State", 103 American Journal of Sociology 1997, 144-181) , and the systems theory perspective of differentiated global society (e.g. R </w:t>
      </w:r>
      <w:proofErr w:type="spellStart"/>
      <w:r w:rsidRPr="00417F40">
        <w:rPr>
          <w:color w:val="000000"/>
          <w:sz w:val="20"/>
          <w:szCs w:val="20"/>
          <w:shd w:val="clear" w:color="auto" w:fill="FFFFFF"/>
        </w:rPr>
        <w:t>Stichweh</w:t>
      </w:r>
      <w:proofErr w:type="spellEnd"/>
      <w:r w:rsidRPr="00417F40">
        <w:rPr>
          <w:color w:val="000000"/>
          <w:sz w:val="20"/>
          <w:szCs w:val="20"/>
          <w:shd w:val="clear" w:color="auto" w:fill="FFFFFF"/>
        </w:rPr>
        <w:t xml:space="preserve">, </w:t>
      </w:r>
      <w:r w:rsidRPr="00417F40">
        <w:rPr>
          <w:i/>
          <w:iCs/>
          <w:color w:val="000000"/>
          <w:sz w:val="20"/>
          <w:szCs w:val="20"/>
          <w:shd w:val="clear" w:color="auto" w:fill="FFFFFF"/>
        </w:rPr>
        <w:t xml:space="preserve">Die </w:t>
      </w:r>
      <w:proofErr w:type="spellStart"/>
      <w:r w:rsidRPr="00417F40">
        <w:rPr>
          <w:i/>
          <w:iCs/>
          <w:color w:val="000000"/>
          <w:sz w:val="20"/>
          <w:szCs w:val="20"/>
          <w:shd w:val="clear" w:color="auto" w:fill="FFFFFF"/>
        </w:rPr>
        <w:t>Weltgesellschaft</w:t>
      </w:r>
      <w:proofErr w:type="spellEnd"/>
      <w:r w:rsidRPr="00417F40">
        <w:rPr>
          <w:i/>
          <w:iCs/>
          <w:color w:val="000000"/>
          <w:sz w:val="20"/>
          <w:szCs w:val="20"/>
          <w:shd w:val="clear" w:color="auto" w:fill="FFFFFF"/>
        </w:rPr>
        <w:t>:</w:t>
      </w:r>
    </w:p>
    <w:p w14:paraId="5CFB6731" w14:textId="77777777" w:rsidR="00694C5E" w:rsidRPr="00417F40" w:rsidRDefault="00694C5E" w:rsidP="00C60733">
      <w:pPr>
        <w:pStyle w:val="FootnoteText"/>
        <w:rPr>
          <w:color w:val="000000"/>
          <w:sz w:val="20"/>
          <w:szCs w:val="20"/>
          <w:shd w:val="clear" w:color="auto" w:fill="FFFFFF"/>
        </w:rPr>
      </w:pPr>
      <w:proofErr w:type="spellStart"/>
      <w:r w:rsidRPr="00417F40">
        <w:rPr>
          <w:i/>
          <w:iCs/>
          <w:color w:val="000000"/>
          <w:sz w:val="20"/>
          <w:szCs w:val="20"/>
          <w:shd w:val="clear" w:color="auto" w:fill="FFFFFF"/>
        </w:rPr>
        <w:t>Soziologische</w:t>
      </w:r>
      <w:proofErr w:type="spellEnd"/>
      <w:r w:rsidRPr="00417F40">
        <w:rPr>
          <w:i/>
          <w:iCs/>
          <w:color w:val="000000"/>
          <w:sz w:val="20"/>
          <w:szCs w:val="20"/>
          <w:shd w:val="clear" w:color="auto" w:fill="FFFFFF"/>
        </w:rPr>
        <w:t xml:space="preserve"> </w:t>
      </w:r>
      <w:proofErr w:type="spellStart"/>
      <w:r w:rsidRPr="00417F40">
        <w:rPr>
          <w:i/>
          <w:iCs/>
          <w:color w:val="000000"/>
          <w:sz w:val="20"/>
          <w:szCs w:val="20"/>
          <w:shd w:val="clear" w:color="auto" w:fill="FFFFFF"/>
        </w:rPr>
        <w:t>Analysen</w:t>
      </w:r>
      <w:proofErr w:type="spellEnd"/>
      <w:r w:rsidRPr="00417F40">
        <w:rPr>
          <w:i/>
          <w:iCs/>
          <w:color w:val="000000"/>
          <w:sz w:val="20"/>
          <w:szCs w:val="20"/>
          <w:shd w:val="clear" w:color="auto" w:fill="FFFFFF"/>
        </w:rPr>
        <w:t>.</w:t>
      </w:r>
      <w:r w:rsidRPr="00417F40">
        <w:rPr>
          <w:color w:val="000000"/>
          <w:sz w:val="20"/>
          <w:szCs w:val="20"/>
          <w:shd w:val="clear" w:color="auto" w:fill="FFFFFF"/>
        </w:rPr>
        <w:t xml:space="preserve"> Frankfurt: </w:t>
      </w:r>
      <w:proofErr w:type="spellStart"/>
      <w:r w:rsidRPr="00417F40">
        <w:rPr>
          <w:color w:val="000000"/>
          <w:sz w:val="20"/>
          <w:szCs w:val="20"/>
          <w:shd w:val="clear" w:color="auto" w:fill="FFFFFF"/>
        </w:rPr>
        <w:t>Suhrkamp</w:t>
      </w:r>
      <w:proofErr w:type="spellEnd"/>
      <w:r w:rsidRPr="00417F40">
        <w:rPr>
          <w:color w:val="000000"/>
          <w:sz w:val="20"/>
          <w:szCs w:val="20"/>
          <w:shd w:val="clear" w:color="auto" w:fill="FFFFFF"/>
        </w:rPr>
        <w:t xml:space="preserve">, 2000), as well as the “post-modern” notion of global legal pluralism (e.g. </w:t>
      </w:r>
      <w:proofErr w:type="spellStart"/>
      <w:r w:rsidRPr="00417F40">
        <w:rPr>
          <w:color w:val="000000"/>
          <w:sz w:val="20"/>
          <w:szCs w:val="20"/>
          <w:shd w:val="clear" w:color="auto" w:fill="FFFFFF"/>
        </w:rPr>
        <w:t>BdS</w:t>
      </w:r>
      <w:proofErr w:type="spellEnd"/>
      <w:r w:rsidRPr="00417F40">
        <w:rPr>
          <w:color w:val="000000"/>
          <w:sz w:val="20"/>
          <w:szCs w:val="20"/>
          <w:shd w:val="clear" w:color="auto" w:fill="FFFFFF"/>
        </w:rPr>
        <w:t xml:space="preserve"> Santos, </w:t>
      </w:r>
      <w:r w:rsidRPr="00417F40">
        <w:rPr>
          <w:i/>
          <w:iCs/>
          <w:color w:val="000000"/>
          <w:sz w:val="20"/>
          <w:szCs w:val="20"/>
          <w:shd w:val="clear" w:color="auto" w:fill="FFFFFF"/>
        </w:rPr>
        <w:t>Toward a New Common Sense: Law, Science and Politics in the Paradigmatic Transition</w:t>
      </w:r>
      <w:r w:rsidRPr="00417F40">
        <w:rPr>
          <w:color w:val="000000"/>
          <w:sz w:val="20"/>
          <w:szCs w:val="20"/>
          <w:shd w:val="clear" w:color="auto" w:fill="FFFFFF"/>
        </w:rPr>
        <w:t xml:space="preserve">, New York, Routledge, 1995). </w:t>
      </w:r>
      <w:r w:rsidRPr="00417F40">
        <w:rPr>
          <w:i/>
          <w:iCs/>
          <w:color w:val="000000"/>
          <w:sz w:val="20"/>
          <w:szCs w:val="20"/>
          <w:shd w:val="clear" w:color="auto" w:fill="FFFFFF"/>
        </w:rPr>
        <w:t xml:space="preserve">See also, </w:t>
      </w:r>
      <w:r w:rsidRPr="00417F40">
        <w:rPr>
          <w:color w:val="000000"/>
          <w:sz w:val="20"/>
          <w:szCs w:val="20"/>
          <w:shd w:val="clear" w:color="auto" w:fill="FFFFFF"/>
        </w:rPr>
        <w:t xml:space="preserve">Larry </w:t>
      </w:r>
      <w:proofErr w:type="spellStart"/>
      <w:r w:rsidRPr="00417F40">
        <w:rPr>
          <w:color w:val="000000"/>
          <w:sz w:val="20"/>
          <w:szCs w:val="20"/>
          <w:shd w:val="clear" w:color="auto" w:fill="FFFFFF"/>
        </w:rPr>
        <w:t>Catá</w:t>
      </w:r>
      <w:proofErr w:type="spellEnd"/>
      <w:r w:rsidRPr="00417F40">
        <w:rPr>
          <w:color w:val="000000"/>
          <w:sz w:val="20"/>
          <w:szCs w:val="20"/>
          <w:shd w:val="clear" w:color="auto" w:fill="FFFFFF"/>
        </w:rPr>
        <w:t xml:space="preserve"> Backer, “The Structural Characteristics of Global </w:t>
      </w:r>
      <w:proofErr w:type="gramStart"/>
      <w:r w:rsidRPr="00417F40">
        <w:rPr>
          <w:color w:val="000000"/>
          <w:sz w:val="20"/>
          <w:szCs w:val="20"/>
          <w:shd w:val="clear" w:color="auto" w:fill="FFFFFF"/>
        </w:rPr>
        <w:t>Law  for</w:t>
      </w:r>
      <w:proofErr w:type="gramEnd"/>
      <w:r w:rsidRPr="00417F40">
        <w:rPr>
          <w:color w:val="000000"/>
          <w:sz w:val="20"/>
          <w:szCs w:val="20"/>
          <w:shd w:val="clear" w:color="auto" w:fill="FFFFFF"/>
        </w:rPr>
        <w:t xml:space="preserve"> the 21st Century: Fracture, Fluidity,  Permeability, and Polycentricity,” Tilburg Law Review 17 (2012) 177–199.</w:t>
      </w:r>
    </w:p>
    <w:p w14:paraId="33B29F6A" w14:textId="77777777" w:rsidR="00694C5E" w:rsidRPr="00417F40" w:rsidRDefault="00694C5E" w:rsidP="00C60733">
      <w:pPr>
        <w:pStyle w:val="FootnoteText"/>
        <w:rPr>
          <w:sz w:val="20"/>
          <w:szCs w:val="20"/>
        </w:rPr>
      </w:pPr>
    </w:p>
  </w:footnote>
  <w:footnote w:id="22">
    <w:p w14:paraId="669A77ED" w14:textId="77777777" w:rsidR="00694C5E" w:rsidRPr="00417F40" w:rsidRDefault="00694C5E">
      <w:pPr>
        <w:pStyle w:val="FootnoteText"/>
        <w:rPr>
          <w:color w:val="000000"/>
          <w:sz w:val="20"/>
          <w:szCs w:val="20"/>
          <w:shd w:val="clear" w:color="auto" w:fill="FFFFFF"/>
        </w:rPr>
      </w:pPr>
      <w:r w:rsidRPr="00417F40">
        <w:rPr>
          <w:rStyle w:val="FootnoteReference"/>
          <w:sz w:val="20"/>
          <w:szCs w:val="20"/>
        </w:rPr>
        <w:footnoteRef/>
      </w:r>
      <w:r w:rsidRPr="00417F40">
        <w:rPr>
          <w:sz w:val="20"/>
          <w:szCs w:val="20"/>
        </w:rPr>
        <w:t xml:space="preserve"> See generally, </w:t>
      </w:r>
      <w:r w:rsidRPr="00417F40">
        <w:rPr>
          <w:color w:val="000000"/>
          <w:sz w:val="20"/>
          <w:szCs w:val="20"/>
          <w:shd w:val="clear" w:color="auto" w:fill="FFFFFF"/>
        </w:rPr>
        <w:t xml:space="preserve">Backer, Larry C. and </w:t>
      </w:r>
      <w:proofErr w:type="spellStart"/>
      <w:r w:rsidRPr="00417F40">
        <w:rPr>
          <w:color w:val="000000"/>
          <w:sz w:val="20"/>
          <w:szCs w:val="20"/>
          <w:shd w:val="clear" w:color="auto" w:fill="FFFFFF"/>
        </w:rPr>
        <w:t>Keren</w:t>
      </w:r>
      <w:proofErr w:type="spellEnd"/>
      <w:r w:rsidRPr="00417F40">
        <w:rPr>
          <w:color w:val="000000"/>
          <w:sz w:val="20"/>
          <w:szCs w:val="20"/>
          <w:shd w:val="clear" w:color="auto" w:fill="FFFFFF"/>
        </w:rPr>
        <w:t xml:space="preserve"> Wang and </w:t>
      </w:r>
      <w:proofErr w:type="spellStart"/>
      <w:r w:rsidRPr="00417F40">
        <w:rPr>
          <w:color w:val="000000"/>
          <w:sz w:val="20"/>
          <w:szCs w:val="20"/>
          <w:shd w:val="clear" w:color="auto" w:fill="FFFFFF"/>
        </w:rPr>
        <w:t>Nabih</w:t>
      </w:r>
      <w:proofErr w:type="spellEnd"/>
      <w:r w:rsidRPr="00417F40">
        <w:rPr>
          <w:color w:val="000000"/>
          <w:sz w:val="20"/>
          <w:szCs w:val="20"/>
          <w:shd w:val="clear" w:color="auto" w:fill="FFFFFF"/>
        </w:rPr>
        <w:t xml:space="preserve"> Haddad and Tomonori </w:t>
      </w:r>
      <w:proofErr w:type="spellStart"/>
      <w:r w:rsidRPr="00417F40">
        <w:rPr>
          <w:color w:val="000000"/>
          <w:sz w:val="20"/>
          <w:szCs w:val="20"/>
          <w:shd w:val="clear" w:color="auto" w:fill="FFFFFF"/>
        </w:rPr>
        <w:t>Teraoka</w:t>
      </w:r>
      <w:proofErr w:type="spellEnd"/>
      <w:r w:rsidRPr="00417F40">
        <w:rPr>
          <w:color w:val="000000"/>
          <w:sz w:val="20"/>
          <w:szCs w:val="20"/>
          <w:shd w:val="clear" w:color="auto" w:fill="FFFFFF"/>
        </w:rPr>
        <w:t xml:space="preserve">, “Democratizing International Business and Human Rights by Catalyzing Strategic Litigation: The Guidelines for Multinational Enterprises and the U.N. Guiding Principles of Business and Human Rights from the Bottom Up” (September 14, 2013). Available at SSRN: </w:t>
      </w:r>
      <w:hyperlink r:id="rId1" w:history="1">
        <w:r w:rsidRPr="00417F40">
          <w:rPr>
            <w:rStyle w:val="Hyperlink"/>
            <w:sz w:val="20"/>
            <w:szCs w:val="20"/>
            <w:shd w:val="clear" w:color="auto" w:fill="FFFFFF"/>
          </w:rPr>
          <w:t>http://ssrn.com/abstract=2325994</w:t>
        </w:r>
      </w:hyperlink>
    </w:p>
    <w:p w14:paraId="4EF7B7CE" w14:textId="77777777" w:rsidR="00694C5E" w:rsidRPr="00417F40" w:rsidRDefault="00694C5E">
      <w:pPr>
        <w:pStyle w:val="FootnoteText"/>
        <w:rPr>
          <w:sz w:val="20"/>
          <w:szCs w:val="20"/>
        </w:rPr>
      </w:pPr>
    </w:p>
  </w:footnote>
  <w:footnote w:id="23">
    <w:p w14:paraId="10534B95" w14:textId="77777777" w:rsidR="00694C5E" w:rsidRPr="00417F40" w:rsidRDefault="00694C5E">
      <w:pPr>
        <w:pStyle w:val="FootnoteText"/>
        <w:rPr>
          <w:color w:val="000000"/>
          <w:sz w:val="20"/>
          <w:szCs w:val="20"/>
          <w:shd w:val="clear" w:color="auto" w:fill="FFFFFF"/>
        </w:rPr>
      </w:pPr>
      <w:r w:rsidRPr="00417F40">
        <w:rPr>
          <w:rStyle w:val="FootnoteReference"/>
          <w:sz w:val="20"/>
          <w:szCs w:val="20"/>
        </w:rPr>
        <w:footnoteRef/>
      </w:r>
      <w:r w:rsidRPr="00417F40">
        <w:rPr>
          <w:sz w:val="20"/>
          <w:szCs w:val="20"/>
        </w:rPr>
        <w:t xml:space="preserve"> </w:t>
      </w:r>
      <w:r w:rsidRPr="00417F40">
        <w:rPr>
          <w:color w:val="000000"/>
          <w:sz w:val="20"/>
          <w:szCs w:val="20"/>
          <w:shd w:val="clear" w:color="auto" w:fill="FFFFFF"/>
        </w:rPr>
        <w:t>See, e.g., History of the United Nations, Available</w:t>
      </w:r>
      <w:hyperlink r:id="rId2" w:history="1">
        <w:r w:rsidRPr="00417F40">
          <w:rPr>
            <w:rStyle w:val="Hyperlink"/>
            <w:color w:val="000000"/>
            <w:sz w:val="20"/>
            <w:szCs w:val="20"/>
            <w:shd w:val="clear" w:color="auto" w:fill="FFFFFF"/>
          </w:rPr>
          <w:t xml:space="preserve"> </w:t>
        </w:r>
        <w:r w:rsidRPr="00417F40">
          <w:rPr>
            <w:rStyle w:val="Hyperlink"/>
            <w:color w:val="1155CC"/>
            <w:sz w:val="20"/>
            <w:szCs w:val="20"/>
            <w:shd w:val="clear" w:color="auto" w:fill="FFFFFF"/>
          </w:rPr>
          <w:t>http://www.un.org/en/aboutun/history/index.shtml</w:t>
        </w:r>
      </w:hyperlink>
      <w:r w:rsidRPr="00417F40">
        <w:rPr>
          <w:color w:val="000000"/>
          <w:sz w:val="20"/>
          <w:szCs w:val="20"/>
          <w:shd w:val="clear" w:color="auto" w:fill="FFFFFF"/>
        </w:rPr>
        <w:t xml:space="preserve"> (with links to source documents).  For the official United States version see,  United States Department of State, Office of the Historian, Milestones 1937-45, The Formation of the United Nations 1945.  Available</w:t>
      </w:r>
      <w:hyperlink r:id="rId3" w:history="1">
        <w:r w:rsidRPr="00417F40">
          <w:rPr>
            <w:rStyle w:val="Hyperlink"/>
            <w:color w:val="000000"/>
            <w:sz w:val="20"/>
            <w:szCs w:val="20"/>
            <w:shd w:val="clear" w:color="auto" w:fill="FFFFFF"/>
          </w:rPr>
          <w:t xml:space="preserve"> </w:t>
        </w:r>
        <w:r w:rsidRPr="00417F40">
          <w:rPr>
            <w:rStyle w:val="Hyperlink"/>
            <w:color w:val="1155CC"/>
            <w:sz w:val="20"/>
            <w:szCs w:val="20"/>
            <w:shd w:val="clear" w:color="auto" w:fill="FFFFFF"/>
          </w:rPr>
          <w:t>http://history.state.gov/milestones/1937-1945/UN</w:t>
        </w:r>
      </w:hyperlink>
      <w:r w:rsidRPr="00417F40">
        <w:rPr>
          <w:color w:val="000000"/>
          <w:sz w:val="20"/>
          <w:szCs w:val="20"/>
          <w:shd w:val="clear" w:color="auto" w:fill="FFFFFF"/>
        </w:rPr>
        <w:t>.</w:t>
      </w:r>
    </w:p>
    <w:p w14:paraId="66873C43" w14:textId="77777777" w:rsidR="00694C5E" w:rsidRPr="00417F40" w:rsidRDefault="00694C5E">
      <w:pPr>
        <w:pStyle w:val="FootnoteText"/>
        <w:rPr>
          <w:sz w:val="20"/>
          <w:szCs w:val="20"/>
        </w:rPr>
      </w:pPr>
    </w:p>
  </w:footnote>
  <w:footnote w:id="24">
    <w:p w14:paraId="6D1FCBD3" w14:textId="77777777" w:rsidR="00694C5E" w:rsidRPr="00417F40" w:rsidRDefault="00694C5E" w:rsidP="00510943">
      <w:pPr>
        <w:pStyle w:val="NormalWeb"/>
        <w:spacing w:before="0" w:beforeAutospacing="0" w:after="0" w:afterAutospacing="0"/>
        <w:jc w:val="both"/>
        <w:rPr>
          <w:color w:val="000000"/>
          <w:sz w:val="20"/>
          <w:szCs w:val="20"/>
          <w:shd w:val="clear" w:color="auto" w:fill="FFFFFF"/>
        </w:rPr>
      </w:pPr>
      <w:r w:rsidRPr="00417F40">
        <w:rPr>
          <w:rStyle w:val="FootnoteReference"/>
          <w:sz w:val="20"/>
          <w:szCs w:val="20"/>
        </w:rPr>
        <w:footnoteRef/>
      </w:r>
      <w:r w:rsidRPr="00417F40">
        <w:rPr>
          <w:sz w:val="20"/>
          <w:szCs w:val="20"/>
        </w:rPr>
        <w:t xml:space="preserve"> </w:t>
      </w:r>
      <w:proofErr w:type="gramStart"/>
      <w:r w:rsidRPr="00417F40">
        <w:rPr>
          <w:color w:val="000000"/>
          <w:sz w:val="20"/>
          <w:szCs w:val="20"/>
          <w:shd w:val="clear" w:color="auto" w:fill="FFFFFF"/>
        </w:rPr>
        <w:t>United States Department of State, Office of the Historian, Milestones 1945-52, The Formation of the United Nations 1945.</w:t>
      </w:r>
      <w:proofErr w:type="gramEnd"/>
      <w:r w:rsidRPr="00417F40">
        <w:rPr>
          <w:color w:val="000000"/>
          <w:sz w:val="20"/>
          <w:szCs w:val="20"/>
          <w:shd w:val="clear" w:color="auto" w:fill="FFFFFF"/>
        </w:rPr>
        <w:t xml:space="preserve">  Available</w:t>
      </w:r>
      <w:hyperlink r:id="rId4" w:history="1">
        <w:r w:rsidRPr="00417F40">
          <w:rPr>
            <w:rStyle w:val="Hyperlink"/>
            <w:rFonts w:eastAsia="Arial"/>
            <w:sz w:val="20"/>
            <w:szCs w:val="20"/>
            <w:shd w:val="clear" w:color="auto" w:fill="FFFFFF"/>
          </w:rPr>
          <w:t xml:space="preserve"> </w:t>
        </w:r>
        <w:r w:rsidRPr="00417F40">
          <w:rPr>
            <w:rStyle w:val="Hyperlink"/>
            <w:rFonts w:eastAsia="Arial"/>
            <w:color w:val="1155CC"/>
            <w:sz w:val="20"/>
            <w:szCs w:val="20"/>
            <w:shd w:val="clear" w:color="auto" w:fill="FFFFFF"/>
          </w:rPr>
          <w:t>http://history.state.gov/milestones/1937-1945/UN</w:t>
        </w:r>
      </w:hyperlink>
      <w:r w:rsidRPr="00417F40">
        <w:rPr>
          <w:color w:val="000000"/>
          <w:sz w:val="20"/>
          <w:szCs w:val="20"/>
          <w:shd w:val="clear" w:color="auto" w:fill="FFFFFF"/>
        </w:rPr>
        <w:t>.</w:t>
      </w:r>
    </w:p>
    <w:p w14:paraId="77DB56A9" w14:textId="77777777" w:rsidR="00694C5E" w:rsidRPr="00417F40" w:rsidRDefault="00694C5E" w:rsidP="00510943">
      <w:pPr>
        <w:pStyle w:val="NormalWeb"/>
        <w:spacing w:before="0" w:beforeAutospacing="0" w:after="0" w:afterAutospacing="0"/>
        <w:jc w:val="both"/>
        <w:rPr>
          <w:sz w:val="20"/>
          <w:szCs w:val="20"/>
        </w:rPr>
      </w:pPr>
    </w:p>
  </w:footnote>
  <w:footnote w:id="25">
    <w:p w14:paraId="349878B9" w14:textId="77777777" w:rsidR="00694C5E" w:rsidRPr="00417F40" w:rsidRDefault="00694C5E">
      <w:pPr>
        <w:pStyle w:val="FootnoteText"/>
        <w:rPr>
          <w:sz w:val="20"/>
          <w:szCs w:val="20"/>
        </w:rPr>
      </w:pPr>
      <w:r w:rsidRPr="00417F40">
        <w:rPr>
          <w:rStyle w:val="FootnoteReference"/>
          <w:sz w:val="20"/>
          <w:szCs w:val="20"/>
        </w:rPr>
        <w:footnoteRef/>
      </w:r>
      <w:r w:rsidRPr="00417F40">
        <w:rPr>
          <w:sz w:val="20"/>
          <w:szCs w:val="20"/>
        </w:rPr>
        <w:t xml:space="preserve"> See Treaty of Westphalia, </w:t>
      </w:r>
      <w:proofErr w:type="spellStart"/>
      <w:r w:rsidRPr="00417F40">
        <w:rPr>
          <w:sz w:val="20"/>
          <w:szCs w:val="20"/>
        </w:rPr>
        <w:t>Art.II</w:t>
      </w:r>
      <w:proofErr w:type="spellEnd"/>
      <w:r w:rsidRPr="00417F40">
        <w:rPr>
          <w:sz w:val="20"/>
          <w:szCs w:val="20"/>
        </w:rPr>
        <w:t xml:space="preserve"> on the recognition of general sovereignty:</w:t>
      </w:r>
    </w:p>
    <w:p w14:paraId="585C1744" w14:textId="77777777" w:rsidR="00694C5E" w:rsidRPr="00417F40" w:rsidRDefault="00694C5E" w:rsidP="00CE285D">
      <w:pPr>
        <w:pStyle w:val="FootnoteText"/>
        <w:ind w:left="720" w:right="720"/>
        <w:jc w:val="both"/>
        <w:rPr>
          <w:sz w:val="20"/>
          <w:szCs w:val="20"/>
        </w:rPr>
      </w:pPr>
      <w:r w:rsidRPr="00417F40">
        <w:rPr>
          <w:sz w:val="20"/>
          <w:szCs w:val="20"/>
        </w:rPr>
        <w:t xml:space="preserve"> “That there shall be on the one side and the other a perpetual Oblivion, Amnesty, or Pardon of all that has been committed since the beginning of these Troubles, in what place, or what manner </w:t>
      </w:r>
      <w:proofErr w:type="spellStart"/>
      <w:r w:rsidRPr="00417F40">
        <w:rPr>
          <w:sz w:val="20"/>
          <w:szCs w:val="20"/>
        </w:rPr>
        <w:t>soever</w:t>
      </w:r>
      <w:proofErr w:type="spellEnd"/>
      <w:r w:rsidRPr="00417F40">
        <w:rPr>
          <w:sz w:val="20"/>
          <w:szCs w:val="20"/>
        </w:rPr>
        <w:t xml:space="preserve"> the </w:t>
      </w:r>
      <w:proofErr w:type="spellStart"/>
      <w:r w:rsidRPr="00417F40">
        <w:rPr>
          <w:sz w:val="20"/>
          <w:szCs w:val="20"/>
        </w:rPr>
        <w:t>Hostilitys</w:t>
      </w:r>
      <w:proofErr w:type="spellEnd"/>
      <w:r w:rsidRPr="00417F40">
        <w:rPr>
          <w:sz w:val="20"/>
          <w:szCs w:val="20"/>
        </w:rPr>
        <w:t xml:space="preserve"> have been </w:t>
      </w:r>
      <w:proofErr w:type="spellStart"/>
      <w:r w:rsidRPr="00417F40">
        <w:rPr>
          <w:sz w:val="20"/>
          <w:szCs w:val="20"/>
        </w:rPr>
        <w:t>practis'd</w:t>
      </w:r>
      <w:proofErr w:type="spellEnd"/>
      <w:r w:rsidRPr="00417F40">
        <w:rPr>
          <w:sz w:val="20"/>
          <w:szCs w:val="20"/>
        </w:rPr>
        <w:t xml:space="preserve">, in such a manner, that no body, under any pretext whatsoever, shall practice any Acts of Hostility, entertain any Enmity, or cause any Trouble to each other; neither as to Persons, Effects and </w:t>
      </w:r>
      <w:proofErr w:type="spellStart"/>
      <w:r w:rsidRPr="00417F40">
        <w:rPr>
          <w:sz w:val="20"/>
          <w:szCs w:val="20"/>
        </w:rPr>
        <w:t>Securitys</w:t>
      </w:r>
      <w:proofErr w:type="spellEnd"/>
      <w:r w:rsidRPr="00417F40">
        <w:rPr>
          <w:sz w:val="20"/>
          <w:szCs w:val="20"/>
        </w:rPr>
        <w:t xml:space="preserve">, neither of themselves or by others, neither privately nor openly, neither directly nor indirectly, neither under the </w:t>
      </w:r>
      <w:proofErr w:type="spellStart"/>
      <w:r w:rsidRPr="00417F40">
        <w:rPr>
          <w:sz w:val="20"/>
          <w:szCs w:val="20"/>
        </w:rPr>
        <w:t>colour</w:t>
      </w:r>
      <w:proofErr w:type="spellEnd"/>
      <w:r w:rsidRPr="00417F40">
        <w:rPr>
          <w:sz w:val="20"/>
          <w:szCs w:val="20"/>
        </w:rPr>
        <w:t xml:space="preserve"> of Right, nor by the way of Deed, either within or without the extent of the Empire, notwithstanding all Covenants made before to the contrary: That they shall not act, or permit to be acted, any wrong or injury to any whatsoever; but that all that has </w:t>
      </w:r>
      <w:proofErr w:type="spellStart"/>
      <w:r w:rsidRPr="00417F40">
        <w:rPr>
          <w:sz w:val="20"/>
          <w:szCs w:val="20"/>
        </w:rPr>
        <w:t>pass'd</w:t>
      </w:r>
      <w:proofErr w:type="spellEnd"/>
      <w:r w:rsidRPr="00417F40">
        <w:rPr>
          <w:sz w:val="20"/>
          <w:szCs w:val="20"/>
        </w:rPr>
        <w:t xml:space="preserve"> on the one side, and the other, as well before as during the War, in Words, Writings, and Outrageous Actions, in </w:t>
      </w:r>
      <w:proofErr w:type="spellStart"/>
      <w:r w:rsidRPr="00417F40">
        <w:rPr>
          <w:sz w:val="20"/>
          <w:szCs w:val="20"/>
        </w:rPr>
        <w:t>Violences</w:t>
      </w:r>
      <w:proofErr w:type="spellEnd"/>
      <w:r w:rsidRPr="00417F40">
        <w:rPr>
          <w:sz w:val="20"/>
          <w:szCs w:val="20"/>
        </w:rPr>
        <w:t xml:space="preserve">, </w:t>
      </w:r>
      <w:proofErr w:type="spellStart"/>
      <w:r w:rsidRPr="00417F40">
        <w:rPr>
          <w:sz w:val="20"/>
          <w:szCs w:val="20"/>
        </w:rPr>
        <w:t>Hostilitys</w:t>
      </w:r>
      <w:proofErr w:type="spellEnd"/>
      <w:r w:rsidRPr="00417F40">
        <w:rPr>
          <w:sz w:val="20"/>
          <w:szCs w:val="20"/>
        </w:rPr>
        <w:t xml:space="preserve">, Damages and </w:t>
      </w:r>
      <w:proofErr w:type="spellStart"/>
      <w:r w:rsidRPr="00417F40">
        <w:rPr>
          <w:sz w:val="20"/>
          <w:szCs w:val="20"/>
        </w:rPr>
        <w:t>Expences</w:t>
      </w:r>
      <w:proofErr w:type="spellEnd"/>
      <w:r w:rsidRPr="00417F40">
        <w:rPr>
          <w:sz w:val="20"/>
          <w:szCs w:val="20"/>
        </w:rPr>
        <w:t xml:space="preserve">, without any respect to Persons or Things, shall be entirely </w:t>
      </w:r>
      <w:proofErr w:type="spellStart"/>
      <w:r w:rsidRPr="00417F40">
        <w:rPr>
          <w:sz w:val="20"/>
          <w:szCs w:val="20"/>
        </w:rPr>
        <w:t>abolish'd</w:t>
      </w:r>
      <w:proofErr w:type="spellEnd"/>
      <w:r w:rsidRPr="00417F40">
        <w:rPr>
          <w:sz w:val="20"/>
          <w:szCs w:val="20"/>
        </w:rPr>
        <w:t xml:space="preserve"> in such a manner that all that might be demanded of, or pretended to, by each other on that behalf, shall be </w:t>
      </w:r>
      <w:proofErr w:type="spellStart"/>
      <w:r w:rsidRPr="00417F40">
        <w:rPr>
          <w:sz w:val="20"/>
          <w:szCs w:val="20"/>
        </w:rPr>
        <w:t>bury'd</w:t>
      </w:r>
      <w:proofErr w:type="spellEnd"/>
      <w:r w:rsidRPr="00417F40">
        <w:rPr>
          <w:sz w:val="20"/>
          <w:szCs w:val="20"/>
        </w:rPr>
        <w:t xml:space="preserve"> in eternal Oblivion.” </w:t>
      </w:r>
    </w:p>
    <w:p w14:paraId="5FF55F2C" w14:textId="77777777" w:rsidR="00694C5E" w:rsidRPr="00417F40" w:rsidRDefault="00694C5E">
      <w:pPr>
        <w:pStyle w:val="FootnoteText"/>
        <w:rPr>
          <w:sz w:val="20"/>
          <w:szCs w:val="20"/>
        </w:rPr>
      </w:pPr>
      <w:r w:rsidRPr="00417F40">
        <w:rPr>
          <w:sz w:val="20"/>
          <w:szCs w:val="20"/>
        </w:rPr>
        <w:t xml:space="preserve">Available: </w:t>
      </w:r>
      <w:hyperlink r:id="rId5" w:history="1">
        <w:r w:rsidRPr="00417F40">
          <w:rPr>
            <w:rStyle w:val="Hyperlink"/>
            <w:sz w:val="20"/>
            <w:szCs w:val="20"/>
          </w:rPr>
          <w:t>http://avalon.law.yale.edu/17th_century/westphal.asp</w:t>
        </w:r>
      </w:hyperlink>
      <w:r w:rsidRPr="00417F40">
        <w:rPr>
          <w:sz w:val="20"/>
          <w:szCs w:val="20"/>
        </w:rPr>
        <w:t xml:space="preserve"> (accessed 4-27-2014)</w:t>
      </w:r>
    </w:p>
  </w:footnote>
  <w:footnote w:id="26">
    <w:p w14:paraId="63510229" w14:textId="77777777" w:rsidR="00694C5E" w:rsidRPr="00417F40" w:rsidRDefault="00694C5E" w:rsidP="00510943">
      <w:pPr>
        <w:pStyle w:val="FootnoteText"/>
        <w:rPr>
          <w:rStyle w:val="Hyperlink"/>
          <w:color w:val="1155CC"/>
          <w:sz w:val="20"/>
          <w:szCs w:val="20"/>
          <w:shd w:val="clear" w:color="auto" w:fill="FFFFFF"/>
        </w:rPr>
      </w:pPr>
      <w:r w:rsidRPr="00417F40">
        <w:rPr>
          <w:rStyle w:val="FootnoteReference"/>
          <w:sz w:val="20"/>
          <w:szCs w:val="20"/>
        </w:rPr>
        <w:footnoteRef/>
      </w:r>
      <w:r w:rsidRPr="00417F40">
        <w:rPr>
          <w:sz w:val="20"/>
          <w:szCs w:val="20"/>
        </w:rPr>
        <w:t xml:space="preserve"> For more on “societal constitutionalism”, see generally, </w:t>
      </w:r>
      <w:r w:rsidRPr="00417F40">
        <w:rPr>
          <w:color w:val="000000"/>
          <w:sz w:val="20"/>
          <w:szCs w:val="20"/>
          <w:shd w:val="clear" w:color="auto" w:fill="FFFFFF"/>
        </w:rPr>
        <w:t xml:space="preserve">Gunther </w:t>
      </w:r>
      <w:proofErr w:type="spellStart"/>
      <w:r w:rsidRPr="00417F40">
        <w:rPr>
          <w:color w:val="000000"/>
          <w:sz w:val="20"/>
          <w:szCs w:val="20"/>
          <w:shd w:val="clear" w:color="auto" w:fill="FFFFFF"/>
        </w:rPr>
        <w:t>Teubner</w:t>
      </w:r>
      <w:proofErr w:type="spellEnd"/>
      <w:r w:rsidRPr="00417F40">
        <w:rPr>
          <w:color w:val="000000"/>
          <w:sz w:val="20"/>
          <w:szCs w:val="20"/>
          <w:shd w:val="clear" w:color="auto" w:fill="FFFFFF"/>
        </w:rPr>
        <w:t xml:space="preserve">, </w:t>
      </w:r>
      <w:r w:rsidRPr="00417F40">
        <w:rPr>
          <w:i/>
          <w:iCs/>
          <w:color w:val="000000"/>
          <w:sz w:val="20"/>
          <w:szCs w:val="20"/>
          <w:shd w:val="clear" w:color="auto" w:fill="FFFFFF"/>
        </w:rPr>
        <w:t>Breaking Frames: The Global Interplay of Legal and Social Systems</w:t>
      </w:r>
      <w:r w:rsidRPr="00417F40">
        <w:rPr>
          <w:color w:val="000000"/>
          <w:sz w:val="20"/>
          <w:szCs w:val="20"/>
          <w:shd w:val="clear" w:color="auto" w:fill="FFFFFF"/>
        </w:rPr>
        <w:t xml:space="preserve">, 45 </w:t>
      </w:r>
      <w:proofErr w:type="gramStart"/>
      <w:r w:rsidRPr="00417F40">
        <w:rPr>
          <w:color w:val="000000"/>
          <w:sz w:val="20"/>
          <w:szCs w:val="20"/>
          <w:shd w:val="clear" w:color="auto" w:fill="FFFFFF"/>
        </w:rPr>
        <w:t>AM</w:t>
      </w:r>
      <w:proofErr w:type="gramEnd"/>
      <w:r w:rsidRPr="00417F40">
        <w:rPr>
          <w:color w:val="000000"/>
          <w:sz w:val="20"/>
          <w:szCs w:val="20"/>
          <w:shd w:val="clear" w:color="auto" w:fill="FFFFFF"/>
        </w:rPr>
        <w:t xml:space="preserve">. J. COMP. L. 149, 162–65 (1997); </w:t>
      </w:r>
      <w:proofErr w:type="spellStart"/>
      <w:r w:rsidRPr="00417F40">
        <w:rPr>
          <w:color w:val="000000"/>
          <w:sz w:val="20"/>
          <w:szCs w:val="20"/>
          <w:shd w:val="clear" w:color="auto" w:fill="FFFFFF"/>
        </w:rPr>
        <w:t>Gralf</w:t>
      </w:r>
      <w:proofErr w:type="spellEnd"/>
      <w:r w:rsidRPr="00417F40">
        <w:rPr>
          <w:color w:val="000000"/>
          <w:sz w:val="20"/>
          <w:szCs w:val="20"/>
          <w:shd w:val="clear" w:color="auto" w:fill="FFFFFF"/>
        </w:rPr>
        <w:t xml:space="preserve">-Peter </w:t>
      </w:r>
      <w:proofErr w:type="spellStart"/>
      <w:r w:rsidRPr="00417F40">
        <w:rPr>
          <w:color w:val="000000"/>
          <w:sz w:val="20"/>
          <w:szCs w:val="20"/>
          <w:shd w:val="clear" w:color="auto" w:fill="FFFFFF"/>
        </w:rPr>
        <w:t>Calliess</w:t>
      </w:r>
      <w:proofErr w:type="spellEnd"/>
      <w:r w:rsidRPr="00417F40">
        <w:rPr>
          <w:color w:val="000000"/>
          <w:sz w:val="20"/>
          <w:szCs w:val="20"/>
          <w:shd w:val="clear" w:color="auto" w:fill="FFFFFF"/>
        </w:rPr>
        <w:t xml:space="preserve"> and Peer </w:t>
      </w:r>
      <w:proofErr w:type="spellStart"/>
      <w:r w:rsidRPr="00417F40">
        <w:rPr>
          <w:color w:val="000000"/>
          <w:sz w:val="20"/>
          <w:szCs w:val="20"/>
          <w:shd w:val="clear" w:color="auto" w:fill="FFFFFF"/>
        </w:rPr>
        <w:t>Zumbansen</w:t>
      </w:r>
      <w:proofErr w:type="spellEnd"/>
      <w:r w:rsidRPr="00417F40">
        <w:rPr>
          <w:color w:val="000000"/>
          <w:sz w:val="20"/>
          <w:szCs w:val="20"/>
          <w:shd w:val="clear" w:color="auto" w:fill="FFFFFF"/>
        </w:rPr>
        <w:t xml:space="preserve">, Rough Consensus and Running Code:  A Theory of Transnational Private Law (Oxford: Hart Publishing, 2010). </w:t>
      </w:r>
      <w:r w:rsidRPr="00417F40">
        <w:rPr>
          <w:i/>
          <w:iCs/>
          <w:color w:val="000000"/>
          <w:sz w:val="20"/>
          <w:szCs w:val="20"/>
          <w:shd w:val="clear" w:color="auto" w:fill="FFFFFF"/>
        </w:rPr>
        <w:t xml:space="preserve">See also, </w:t>
      </w:r>
      <w:r w:rsidRPr="00417F40">
        <w:rPr>
          <w:color w:val="000000"/>
          <w:sz w:val="20"/>
          <w:szCs w:val="20"/>
          <w:shd w:val="clear" w:color="auto" w:fill="FFFFFF"/>
        </w:rPr>
        <w:t xml:space="preserve">Gunther </w:t>
      </w:r>
      <w:proofErr w:type="spellStart"/>
      <w:r w:rsidRPr="00417F40">
        <w:rPr>
          <w:color w:val="000000"/>
          <w:sz w:val="20"/>
          <w:szCs w:val="20"/>
          <w:shd w:val="clear" w:color="auto" w:fill="FFFFFF"/>
        </w:rPr>
        <w:t>Teubner</w:t>
      </w:r>
      <w:proofErr w:type="spellEnd"/>
      <w:r w:rsidRPr="00417F40">
        <w:rPr>
          <w:color w:val="000000"/>
          <w:sz w:val="20"/>
          <w:szCs w:val="20"/>
          <w:shd w:val="clear" w:color="auto" w:fill="FFFFFF"/>
        </w:rPr>
        <w:t xml:space="preserve">, “Societal Constitutionalism: Alternatives to State-centered Constitutional Theory”, </w:t>
      </w:r>
      <w:proofErr w:type="spellStart"/>
      <w:r w:rsidRPr="00417F40">
        <w:rPr>
          <w:color w:val="000000"/>
          <w:sz w:val="20"/>
          <w:szCs w:val="20"/>
          <w:shd w:val="clear" w:color="auto" w:fill="FFFFFF"/>
        </w:rPr>
        <w:t>Sorrs</w:t>
      </w:r>
      <w:proofErr w:type="spellEnd"/>
      <w:r w:rsidRPr="00417F40">
        <w:rPr>
          <w:color w:val="000000"/>
          <w:sz w:val="20"/>
          <w:szCs w:val="20"/>
          <w:shd w:val="clear" w:color="auto" w:fill="FFFFFF"/>
        </w:rPr>
        <w:t xml:space="preserve"> Lectures 2003/04 Yale Law School. Available:</w:t>
      </w:r>
      <w:hyperlink r:id="rId6" w:history="1">
        <w:r w:rsidRPr="00417F40">
          <w:rPr>
            <w:rStyle w:val="Hyperlink"/>
            <w:color w:val="000000"/>
            <w:sz w:val="20"/>
            <w:szCs w:val="20"/>
            <w:shd w:val="clear" w:color="auto" w:fill="FFFFFF"/>
          </w:rPr>
          <w:t xml:space="preserve"> </w:t>
        </w:r>
        <w:r w:rsidRPr="00417F40">
          <w:rPr>
            <w:rStyle w:val="Hyperlink"/>
            <w:color w:val="1155CC"/>
            <w:sz w:val="20"/>
            <w:szCs w:val="20"/>
            <w:shd w:val="clear" w:color="auto" w:fill="FFFFFF"/>
          </w:rPr>
          <w:t>https://fhi.duke.edu/sites/default/files/Teubner,%20Societal%20constitutionalism.pdf</w:t>
        </w:r>
      </w:hyperlink>
    </w:p>
    <w:p w14:paraId="35CCBD4E" w14:textId="77777777" w:rsidR="00694C5E" w:rsidRPr="00417F40" w:rsidRDefault="00694C5E" w:rsidP="00510943">
      <w:pPr>
        <w:pStyle w:val="FootnoteText"/>
        <w:rPr>
          <w:sz w:val="20"/>
          <w:szCs w:val="20"/>
        </w:rPr>
      </w:pPr>
    </w:p>
  </w:footnote>
  <w:footnote w:id="27">
    <w:p w14:paraId="0A872E15" w14:textId="77777777" w:rsidR="00694C5E" w:rsidRPr="00417F40" w:rsidRDefault="00694C5E">
      <w:pPr>
        <w:pStyle w:val="FootnoteText"/>
        <w:rPr>
          <w:sz w:val="20"/>
          <w:szCs w:val="20"/>
        </w:rPr>
      </w:pPr>
      <w:r w:rsidRPr="00417F40">
        <w:rPr>
          <w:rStyle w:val="FootnoteReference"/>
          <w:sz w:val="20"/>
          <w:szCs w:val="20"/>
        </w:rPr>
        <w:footnoteRef/>
      </w:r>
      <w:r w:rsidRPr="00417F40">
        <w:rPr>
          <w:sz w:val="20"/>
          <w:szCs w:val="20"/>
        </w:rPr>
        <w:t xml:space="preserve"> </w:t>
      </w:r>
      <w:r w:rsidRPr="00417F40">
        <w:rPr>
          <w:color w:val="000000"/>
          <w:sz w:val="20"/>
          <w:szCs w:val="20"/>
          <w:shd w:val="clear" w:color="auto" w:fill="FFFFFF"/>
        </w:rPr>
        <w:t xml:space="preserve">Hannah Arendt, </w:t>
      </w:r>
      <w:r w:rsidRPr="00417F40">
        <w:rPr>
          <w:i/>
          <w:iCs/>
          <w:color w:val="000000"/>
          <w:sz w:val="20"/>
          <w:szCs w:val="20"/>
          <w:shd w:val="clear" w:color="auto" w:fill="FFFFFF"/>
        </w:rPr>
        <w:t>Between Past and Future</w:t>
      </w:r>
      <w:r w:rsidRPr="00417F40">
        <w:rPr>
          <w:color w:val="000000"/>
          <w:sz w:val="20"/>
          <w:szCs w:val="20"/>
          <w:shd w:val="clear" w:color="auto" w:fill="FFFFFF"/>
        </w:rPr>
        <w:t xml:space="preserve">. New York: Viking Press, 1961. </w:t>
      </w:r>
      <w:proofErr w:type="gramStart"/>
      <w:r w:rsidRPr="00417F40">
        <w:rPr>
          <w:color w:val="000000"/>
          <w:sz w:val="20"/>
          <w:szCs w:val="20"/>
          <w:shd w:val="clear" w:color="auto" w:fill="FFFFFF"/>
        </w:rPr>
        <w:t>Revised edition, 1968 at 221.</w:t>
      </w:r>
      <w:proofErr w:type="gramEnd"/>
    </w:p>
  </w:footnote>
  <w:footnote w:id="28">
    <w:p w14:paraId="7EFF9FCF" w14:textId="77777777" w:rsidR="00694C5E" w:rsidRPr="00417F40" w:rsidRDefault="00694C5E" w:rsidP="0044042E">
      <w:pPr>
        <w:spacing w:line="240" w:lineRule="auto"/>
        <w:jc w:val="both"/>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r w:rsidRPr="00417F40">
        <w:rPr>
          <w:rFonts w:ascii="Times New Roman" w:eastAsia="Times New Roman" w:hAnsi="Times New Roman" w:cs="Times New Roman"/>
          <w:sz w:val="20"/>
          <w:highlight w:val="white"/>
        </w:rPr>
        <w:t>See, e.g., History of the United Nations, Available</w:t>
      </w:r>
      <w:hyperlink r:id="rId7">
        <w:r w:rsidRPr="00417F40">
          <w:rPr>
            <w:rFonts w:ascii="Times New Roman" w:eastAsia="Times New Roman" w:hAnsi="Times New Roman" w:cs="Times New Roman"/>
            <w:sz w:val="20"/>
            <w:highlight w:val="white"/>
          </w:rPr>
          <w:t xml:space="preserve"> </w:t>
        </w:r>
      </w:hyperlink>
      <w:hyperlink r:id="rId8">
        <w:r w:rsidRPr="00417F40">
          <w:rPr>
            <w:rFonts w:ascii="Times New Roman" w:eastAsia="Times New Roman" w:hAnsi="Times New Roman" w:cs="Times New Roman"/>
            <w:color w:val="1155CC"/>
            <w:sz w:val="20"/>
            <w:highlight w:val="white"/>
            <w:u w:val="single"/>
          </w:rPr>
          <w:t>http://www.un.org/en/aboutun/history/index.shtml</w:t>
        </w:r>
      </w:hyperlink>
      <w:r w:rsidRPr="00417F40">
        <w:rPr>
          <w:rFonts w:ascii="Times New Roman" w:eastAsia="Times New Roman" w:hAnsi="Times New Roman" w:cs="Times New Roman"/>
          <w:sz w:val="20"/>
          <w:highlight w:val="white"/>
        </w:rPr>
        <w:t xml:space="preserve"> (with links to source documents).  For the official United States version see,  United States Department of State, Office of the Historian, Milestones 1937-45, The Formation of the United Nations 1945.  Available</w:t>
      </w:r>
      <w:hyperlink r:id="rId9">
        <w:r w:rsidRPr="00417F40">
          <w:rPr>
            <w:rFonts w:ascii="Times New Roman" w:eastAsia="Times New Roman" w:hAnsi="Times New Roman" w:cs="Times New Roman"/>
            <w:sz w:val="20"/>
            <w:highlight w:val="white"/>
          </w:rPr>
          <w:t xml:space="preserve"> </w:t>
        </w:r>
      </w:hyperlink>
      <w:hyperlink r:id="rId10">
        <w:r w:rsidRPr="00417F40">
          <w:rPr>
            <w:rFonts w:ascii="Times New Roman" w:eastAsia="Times New Roman" w:hAnsi="Times New Roman" w:cs="Times New Roman"/>
            <w:color w:val="1155CC"/>
            <w:sz w:val="20"/>
            <w:highlight w:val="white"/>
            <w:u w:val="single"/>
          </w:rPr>
          <w:t>http://history.state.gov/milestones/1937-1945/UN</w:t>
        </w:r>
      </w:hyperlink>
      <w:r w:rsidRPr="00417F40">
        <w:rPr>
          <w:rFonts w:ascii="Times New Roman" w:eastAsia="Times New Roman" w:hAnsi="Times New Roman" w:cs="Times New Roman"/>
          <w:sz w:val="20"/>
          <w:highlight w:val="white"/>
        </w:rPr>
        <w:t>.</w:t>
      </w:r>
    </w:p>
    <w:p w14:paraId="2FA2D3A4" w14:textId="77777777" w:rsidR="00694C5E" w:rsidRPr="00417F40" w:rsidRDefault="00694C5E" w:rsidP="00835F1A">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p>
  </w:footnote>
  <w:footnote w:id="29">
    <w:p w14:paraId="149E15C5" w14:textId="77777777" w:rsidR="00694C5E" w:rsidRPr="00417F40" w:rsidRDefault="00694C5E" w:rsidP="0044042E">
      <w:pPr>
        <w:spacing w:line="240" w:lineRule="auto"/>
        <w:jc w:val="both"/>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proofErr w:type="gramStart"/>
      <w:r w:rsidRPr="00417F40">
        <w:rPr>
          <w:rFonts w:ascii="Times New Roman" w:eastAsia="Times New Roman" w:hAnsi="Times New Roman" w:cs="Times New Roman"/>
          <w:sz w:val="20"/>
          <w:highlight w:val="white"/>
        </w:rPr>
        <w:t>United States Department of State, Office of the Historian, Milestones 1945-52, The Formation of the United Nations 1945.</w:t>
      </w:r>
      <w:proofErr w:type="gramEnd"/>
      <w:r w:rsidRPr="00417F40">
        <w:rPr>
          <w:rFonts w:ascii="Times New Roman" w:eastAsia="Times New Roman" w:hAnsi="Times New Roman" w:cs="Times New Roman"/>
          <w:sz w:val="20"/>
          <w:highlight w:val="white"/>
        </w:rPr>
        <w:t xml:space="preserve">  Available</w:t>
      </w:r>
      <w:hyperlink r:id="rId11">
        <w:r w:rsidRPr="00417F40">
          <w:rPr>
            <w:rFonts w:ascii="Times New Roman" w:eastAsia="Times New Roman" w:hAnsi="Times New Roman" w:cs="Times New Roman"/>
            <w:sz w:val="20"/>
            <w:highlight w:val="white"/>
          </w:rPr>
          <w:t xml:space="preserve"> </w:t>
        </w:r>
      </w:hyperlink>
      <w:hyperlink r:id="rId12">
        <w:r w:rsidRPr="00417F40">
          <w:rPr>
            <w:rFonts w:ascii="Times New Roman" w:eastAsia="Times New Roman" w:hAnsi="Times New Roman" w:cs="Times New Roman"/>
            <w:color w:val="1155CC"/>
            <w:sz w:val="20"/>
            <w:highlight w:val="white"/>
            <w:u w:val="single"/>
          </w:rPr>
          <w:t>http://history.state.gov/milestones/1937-1945/UN</w:t>
        </w:r>
      </w:hyperlink>
      <w:r w:rsidRPr="00417F40">
        <w:rPr>
          <w:rFonts w:ascii="Times New Roman" w:eastAsia="Times New Roman" w:hAnsi="Times New Roman" w:cs="Times New Roman"/>
          <w:sz w:val="20"/>
          <w:highlight w:val="white"/>
        </w:rPr>
        <w:t>.</w:t>
      </w:r>
    </w:p>
    <w:p w14:paraId="0FB5DC38" w14:textId="77777777" w:rsidR="00694C5E" w:rsidRPr="00417F40" w:rsidRDefault="00694C5E" w:rsidP="0044042E">
      <w:pPr>
        <w:spacing w:line="240" w:lineRule="auto"/>
        <w:jc w:val="both"/>
        <w:rPr>
          <w:rFonts w:ascii="Times New Roman" w:hAnsi="Times New Roman" w:cs="Times New Roman"/>
          <w:sz w:val="20"/>
        </w:rPr>
      </w:pPr>
    </w:p>
  </w:footnote>
  <w:footnote w:id="30">
    <w:p w14:paraId="4ECE05EB" w14:textId="77777777" w:rsidR="00694C5E" w:rsidRPr="00417F40" w:rsidRDefault="00694C5E" w:rsidP="00835F1A">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r w:rsidRPr="00417F40">
        <w:rPr>
          <w:rFonts w:ascii="Times New Roman" w:eastAsia="Times New Roman" w:hAnsi="Times New Roman" w:cs="Times New Roman"/>
          <w:sz w:val="20"/>
          <w:highlight w:val="white"/>
        </w:rPr>
        <w:t xml:space="preserve">Backer, Larry C., </w:t>
      </w:r>
      <w:proofErr w:type="spellStart"/>
      <w:r w:rsidRPr="00417F40">
        <w:rPr>
          <w:rFonts w:ascii="Times New Roman" w:eastAsia="Times New Roman" w:hAnsi="Times New Roman" w:cs="Times New Roman"/>
          <w:sz w:val="20"/>
          <w:highlight w:val="white"/>
        </w:rPr>
        <w:t>Nabih</w:t>
      </w:r>
      <w:proofErr w:type="spellEnd"/>
      <w:r w:rsidRPr="00417F40">
        <w:rPr>
          <w:rFonts w:ascii="Times New Roman" w:eastAsia="Times New Roman" w:hAnsi="Times New Roman" w:cs="Times New Roman"/>
          <w:sz w:val="20"/>
          <w:highlight w:val="white"/>
        </w:rPr>
        <w:t xml:space="preserve"> Haddad, Tomonori </w:t>
      </w:r>
      <w:proofErr w:type="spellStart"/>
      <w:r w:rsidRPr="00417F40">
        <w:rPr>
          <w:rFonts w:ascii="Times New Roman" w:eastAsia="Times New Roman" w:hAnsi="Times New Roman" w:cs="Times New Roman"/>
          <w:sz w:val="20"/>
          <w:highlight w:val="white"/>
        </w:rPr>
        <w:t>Teraoka</w:t>
      </w:r>
      <w:proofErr w:type="spellEnd"/>
      <w:r w:rsidRPr="00417F40">
        <w:rPr>
          <w:rFonts w:ascii="Times New Roman" w:eastAsia="Times New Roman" w:hAnsi="Times New Roman" w:cs="Times New Roman"/>
          <w:sz w:val="20"/>
          <w:highlight w:val="white"/>
        </w:rPr>
        <w:t xml:space="preserve">, and </w:t>
      </w:r>
      <w:proofErr w:type="spellStart"/>
      <w:r w:rsidRPr="00417F40">
        <w:rPr>
          <w:rFonts w:ascii="Times New Roman" w:eastAsia="Times New Roman" w:hAnsi="Times New Roman" w:cs="Times New Roman"/>
          <w:sz w:val="20"/>
          <w:highlight w:val="white"/>
        </w:rPr>
        <w:t>Keren</w:t>
      </w:r>
      <w:proofErr w:type="spellEnd"/>
      <w:r w:rsidRPr="00417F40">
        <w:rPr>
          <w:rFonts w:ascii="Times New Roman" w:eastAsia="Times New Roman" w:hAnsi="Times New Roman" w:cs="Times New Roman"/>
          <w:sz w:val="20"/>
          <w:highlight w:val="white"/>
        </w:rPr>
        <w:t xml:space="preserve"> </w:t>
      </w:r>
      <w:proofErr w:type="gramStart"/>
      <w:r w:rsidRPr="00417F40">
        <w:rPr>
          <w:rFonts w:ascii="Times New Roman" w:eastAsia="Times New Roman" w:hAnsi="Times New Roman" w:cs="Times New Roman"/>
          <w:sz w:val="20"/>
          <w:highlight w:val="white"/>
        </w:rPr>
        <w:t>Wang .</w:t>
      </w:r>
      <w:proofErr w:type="gramEnd"/>
      <w:r w:rsidRPr="00417F40">
        <w:rPr>
          <w:rFonts w:ascii="Times New Roman" w:eastAsia="Times New Roman" w:hAnsi="Times New Roman" w:cs="Times New Roman"/>
          <w:sz w:val="20"/>
          <w:highlight w:val="white"/>
        </w:rPr>
        <w:t xml:space="preserve"> “Democratizing International Business and Human Rights by Catalyzing Strategic Litigation: The Guidelines for Multinational Enterprises and the U.N. Guiding Principles of Business and Human Rights from the Bottom Up” (September 14, 2013). Available at SSRN: http://ssrn.com/abstract=2325994</w:t>
      </w:r>
    </w:p>
  </w:footnote>
  <w:footnote w:id="31">
    <w:p w14:paraId="50C5DD57" w14:textId="77777777" w:rsidR="00694C5E" w:rsidRPr="00417F40" w:rsidRDefault="00694C5E" w:rsidP="00835F1A">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Ibid.</w:t>
      </w:r>
    </w:p>
  </w:footnote>
  <w:footnote w:id="32">
    <w:p w14:paraId="51C92BB2" w14:textId="77777777" w:rsidR="00694C5E" w:rsidRPr="00417F40" w:rsidRDefault="00694C5E" w:rsidP="00835F1A">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w:t>
      </w:r>
      <w:r w:rsidRPr="00417F40">
        <w:rPr>
          <w:rFonts w:ascii="Times New Roman" w:eastAsia="Times New Roman" w:hAnsi="Times New Roman" w:cs="Times New Roman"/>
          <w:sz w:val="20"/>
          <w:highlight w:val="white"/>
        </w:rPr>
        <w:t xml:space="preserve">Kenneth Roth, </w:t>
      </w:r>
      <w:r w:rsidRPr="00417F40">
        <w:rPr>
          <w:rFonts w:ascii="Times New Roman" w:eastAsia="Times New Roman" w:hAnsi="Times New Roman" w:cs="Times New Roman"/>
          <w:i/>
          <w:sz w:val="20"/>
          <w:highlight w:val="white"/>
        </w:rPr>
        <w:t>Defending Economic, Social and Cultural Rights: Practical Issues Faced by an International Human Rights Organization</w:t>
      </w:r>
      <w:r w:rsidRPr="00417F40">
        <w:rPr>
          <w:rFonts w:ascii="Times New Roman" w:eastAsia="Times New Roman" w:hAnsi="Times New Roman" w:cs="Times New Roman"/>
          <w:sz w:val="20"/>
          <w:highlight w:val="white"/>
        </w:rPr>
        <w:t xml:space="preserve">, 26(1) </w:t>
      </w:r>
      <w:r w:rsidRPr="00417F40">
        <w:rPr>
          <w:rFonts w:ascii="Times New Roman" w:eastAsia="Times New Roman" w:hAnsi="Times New Roman" w:cs="Times New Roman"/>
          <w:smallCaps/>
          <w:sz w:val="20"/>
          <w:highlight w:val="white"/>
        </w:rPr>
        <w:t>Human Rights Quarterly</w:t>
      </w:r>
      <w:r w:rsidRPr="00417F40">
        <w:rPr>
          <w:rFonts w:ascii="Times New Roman" w:eastAsia="Times New Roman" w:hAnsi="Times New Roman" w:cs="Times New Roman"/>
          <w:sz w:val="20"/>
          <w:highlight w:val="white"/>
        </w:rPr>
        <w:t xml:space="preserve"> 63-73 (2004);</w:t>
      </w:r>
      <w:r w:rsidRPr="00417F40">
        <w:rPr>
          <w:rFonts w:ascii="Times New Roman" w:eastAsia="Times New Roman" w:hAnsi="Times New Roman" w:cs="Times New Roman"/>
          <w:sz w:val="20"/>
          <w:highlight w:val="white"/>
        </w:rPr>
        <w:tab/>
        <w:t xml:space="preserve">Larry </w:t>
      </w:r>
      <w:proofErr w:type="spellStart"/>
      <w:r w:rsidRPr="00417F40">
        <w:rPr>
          <w:rFonts w:ascii="Times New Roman" w:eastAsia="Times New Roman" w:hAnsi="Times New Roman" w:cs="Times New Roman"/>
          <w:sz w:val="20"/>
          <w:highlight w:val="white"/>
        </w:rPr>
        <w:t>Catá</w:t>
      </w:r>
      <w:proofErr w:type="spellEnd"/>
      <w:r w:rsidRPr="00417F40">
        <w:rPr>
          <w:rFonts w:ascii="Times New Roman" w:eastAsia="Times New Roman" w:hAnsi="Times New Roman" w:cs="Times New Roman"/>
          <w:sz w:val="20"/>
          <w:highlight w:val="white"/>
        </w:rPr>
        <w:t xml:space="preserve"> Backer, </w:t>
      </w:r>
      <w:r w:rsidRPr="00417F40">
        <w:rPr>
          <w:rFonts w:ascii="Times New Roman" w:eastAsia="Times New Roman" w:hAnsi="Times New Roman" w:cs="Times New Roman"/>
          <w:i/>
          <w:sz w:val="20"/>
          <w:highlight w:val="white"/>
        </w:rPr>
        <w:t>The Role of Companies in Privatizing Socio-Economic Rights in India and China Under Emerging Global Regulatory Frameworks</w:t>
      </w:r>
      <w:r w:rsidRPr="00417F40">
        <w:rPr>
          <w:rFonts w:ascii="Times New Roman" w:eastAsia="Times New Roman" w:hAnsi="Times New Roman" w:cs="Times New Roman"/>
          <w:sz w:val="20"/>
          <w:highlight w:val="white"/>
        </w:rPr>
        <w:t xml:space="preserve">, 45(4) </w:t>
      </w:r>
      <w:r w:rsidRPr="00417F40">
        <w:rPr>
          <w:rFonts w:ascii="Times New Roman" w:eastAsia="Times New Roman" w:hAnsi="Times New Roman" w:cs="Times New Roman"/>
          <w:smallCaps/>
          <w:sz w:val="20"/>
          <w:highlight w:val="white"/>
        </w:rPr>
        <w:t>The George Washington International Law Review</w:t>
      </w:r>
      <w:r w:rsidRPr="00417F40">
        <w:rPr>
          <w:rFonts w:ascii="Times New Roman" w:eastAsia="Times New Roman" w:hAnsi="Times New Roman" w:cs="Times New Roman"/>
          <w:sz w:val="20"/>
          <w:highlight w:val="white"/>
        </w:rPr>
        <w:t xml:space="preserve"> -- (forthcoming 2013).</w:t>
      </w:r>
    </w:p>
  </w:footnote>
  <w:footnote w:id="33">
    <w:p w14:paraId="2D9E2461" w14:textId="77777777" w:rsidR="00694C5E" w:rsidRPr="00417F40" w:rsidRDefault="00694C5E" w:rsidP="00835F1A">
      <w:pPr>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Alexandra R. Harrington, Don’t Mind the Gap: The Ride of Individual</w:t>
      </w:r>
    </w:p>
    <w:p w14:paraId="26E6797A" w14:textId="77777777" w:rsidR="00694C5E" w:rsidRPr="00417F40" w:rsidRDefault="00694C5E" w:rsidP="00835F1A">
      <w:pPr>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Complaint Mechanisms Within International Human Rights Treaties, 22 DUKE J. COMP. &amp;</w:t>
      </w:r>
    </w:p>
    <w:p w14:paraId="72CF07CC" w14:textId="77777777" w:rsidR="00694C5E" w:rsidRPr="00417F40" w:rsidRDefault="00694C5E" w:rsidP="00835F1A">
      <w:pPr>
        <w:rPr>
          <w:rFonts w:ascii="Times New Roman" w:hAnsi="Times New Roman" w:cs="Times New Roman"/>
          <w:sz w:val="20"/>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INT'L L. 153, 177 (2012).</w:t>
      </w:r>
    </w:p>
    <w:p w14:paraId="0B6B0C15" w14:textId="77777777" w:rsidR="00694C5E" w:rsidRPr="00417F40" w:rsidRDefault="00694C5E" w:rsidP="00835F1A">
      <w:pPr>
        <w:spacing w:line="240" w:lineRule="auto"/>
        <w:rPr>
          <w:rFonts w:ascii="Times New Roman" w:hAnsi="Times New Roman" w:cs="Times New Roman"/>
          <w:sz w:val="20"/>
        </w:rPr>
      </w:pPr>
      <w:r w:rsidRPr="00417F40">
        <w:rPr>
          <w:rFonts w:ascii="Times New Roman" w:hAnsi="Times New Roman" w:cs="Times New Roman"/>
          <w:sz w:val="20"/>
          <w:vertAlign w:val="superscript"/>
        </w:rPr>
        <w:footnoteRef/>
      </w:r>
    </w:p>
  </w:footnote>
  <w:footnote w:id="34">
    <w:p w14:paraId="24BB358E" w14:textId="77777777" w:rsidR="00694C5E" w:rsidRPr="00D56202" w:rsidRDefault="00694C5E" w:rsidP="00D56202">
      <w:pPr>
        <w:rPr>
          <w:rFonts w:ascii="Times New Roman" w:eastAsiaTheme="minorEastAsia" w:hAnsi="Times New Roman" w:cs="Times New Roman"/>
          <w:sz w:val="20"/>
          <w:lang w:eastAsia="zh-CN"/>
        </w:rPr>
      </w:pPr>
      <w:r w:rsidRPr="00417F40">
        <w:rPr>
          <w:rFonts w:ascii="Times New Roman" w:hAnsi="Times New Roman" w:cs="Times New Roman"/>
          <w:sz w:val="20"/>
          <w:vertAlign w:val="superscript"/>
        </w:rPr>
        <w:footnoteRef/>
      </w:r>
      <w:r w:rsidRPr="00417F40">
        <w:rPr>
          <w:rFonts w:ascii="Times New Roman" w:hAnsi="Times New Roman" w:cs="Times New Roman"/>
          <w:sz w:val="20"/>
        </w:rPr>
        <w:t xml:space="preserve"> See Katharine Young, “The Minimum Core of Economic and Social Rights: A Concept in Search of Content”, THE YALE JOURNAL OF INTERNATIONAL LAW Vol. 33 p.113</w:t>
      </w:r>
    </w:p>
  </w:footnote>
  <w:footnote w:id="35">
    <w:p w14:paraId="3D025DB4" w14:textId="77777777" w:rsidR="008E1C6B" w:rsidRPr="00417F40" w:rsidRDefault="008E1C6B" w:rsidP="008E1C6B">
      <w:pPr>
        <w:pStyle w:val="FootnoteText"/>
        <w:rPr>
          <w:sz w:val="20"/>
          <w:szCs w:val="20"/>
        </w:rPr>
      </w:pPr>
      <w:r w:rsidRPr="00417F40">
        <w:rPr>
          <w:rStyle w:val="FootnoteReference"/>
          <w:sz w:val="20"/>
          <w:szCs w:val="20"/>
        </w:rPr>
        <w:footnoteRef/>
      </w:r>
      <w:r w:rsidRPr="00417F40">
        <w:rPr>
          <w:sz w:val="20"/>
          <w:szCs w:val="20"/>
        </w:rPr>
        <w:t xml:space="preserve"> Bowring, Bill</w:t>
      </w:r>
    </w:p>
  </w:footnote>
  <w:footnote w:id="36">
    <w:p w14:paraId="1ED1A96B" w14:textId="77777777" w:rsidR="008E1C6B" w:rsidRPr="00417F40" w:rsidRDefault="008E1C6B" w:rsidP="008E1C6B">
      <w:pPr>
        <w:autoSpaceDE w:val="0"/>
        <w:autoSpaceDN w:val="0"/>
        <w:adjustRightInd w:val="0"/>
        <w:spacing w:line="240" w:lineRule="auto"/>
        <w:rPr>
          <w:rFonts w:ascii="Times New Roman" w:hAnsi="Times New Roman" w:cs="Times New Roman"/>
          <w:sz w:val="20"/>
        </w:rPr>
      </w:pPr>
      <w:r w:rsidRPr="00417F40">
        <w:rPr>
          <w:rStyle w:val="FootnoteReference"/>
          <w:rFonts w:ascii="Times New Roman" w:hAnsi="Times New Roman" w:cs="Times New Roman"/>
          <w:sz w:val="20"/>
        </w:rPr>
        <w:footnoteRef/>
      </w:r>
      <w:r w:rsidRPr="00417F40">
        <w:rPr>
          <w:rFonts w:ascii="Times New Roman" w:hAnsi="Times New Roman" w:cs="Times New Roman"/>
          <w:sz w:val="20"/>
        </w:rPr>
        <w:t xml:space="preserve"> </w:t>
      </w:r>
      <w:hyperlink r:id="rId13" w:history="1">
        <w:r w:rsidRPr="00417F40">
          <w:rPr>
            <w:rStyle w:val="Hyperlink"/>
            <w:rFonts w:ascii="Times New Roman" w:hAnsi="Times New Roman" w:cs="Times New Roman"/>
            <w:sz w:val="20"/>
          </w:rPr>
          <w:t>http://www.un.org/rights/50/decla.htm</w:t>
        </w:r>
      </w:hyperlink>
      <w:r w:rsidRPr="00417F40">
        <w:rPr>
          <w:rFonts w:ascii="Times New Roman" w:hAnsi="Times New Roman" w:cs="Times New Roman"/>
          <w:sz w:val="20"/>
        </w:rPr>
        <w:t xml:space="preserve">; Also see, </w:t>
      </w:r>
      <w:proofErr w:type="spellStart"/>
      <w:r w:rsidRPr="00417F40">
        <w:rPr>
          <w:rFonts w:ascii="Times New Roman" w:hAnsi="Times New Roman" w:cs="Times New Roman"/>
          <w:sz w:val="20"/>
        </w:rPr>
        <w:t>Baxi</w:t>
      </w:r>
      <w:proofErr w:type="spellEnd"/>
      <w:r w:rsidRPr="00417F40">
        <w:rPr>
          <w:rFonts w:ascii="Times New Roman" w:hAnsi="Times New Roman" w:cs="Times New Roman"/>
          <w:sz w:val="20"/>
        </w:rPr>
        <w:t xml:space="preserve">, U. (1994, December). Human rights education: The promise of the third millennium? Paper presented at the Conference of the United Nations Member States and Non-Governmental </w:t>
      </w:r>
      <w:proofErr w:type="spellStart"/>
      <w:r w:rsidRPr="00417F40">
        <w:rPr>
          <w:rFonts w:ascii="Times New Roman" w:hAnsi="Times New Roman" w:cs="Times New Roman"/>
          <w:sz w:val="20"/>
        </w:rPr>
        <w:t>Organisations</w:t>
      </w:r>
      <w:proofErr w:type="spellEnd"/>
      <w:r w:rsidRPr="00417F40">
        <w:rPr>
          <w:rFonts w:ascii="Times New Roman" w:hAnsi="Times New Roman" w:cs="Times New Roman"/>
          <w:sz w:val="20"/>
        </w:rPr>
        <w:t xml:space="preserve">, New York. Retrieved December 14, 2010, from http://www.pdhre.org/dialogue/third_millennium.html; Bowring, Bill, Human Rights and Public Education (June 15, 2012). </w:t>
      </w:r>
      <w:proofErr w:type="gramStart"/>
      <w:r w:rsidRPr="00417F40">
        <w:rPr>
          <w:rFonts w:ascii="Times New Roman" w:hAnsi="Times New Roman" w:cs="Times New Roman"/>
          <w:sz w:val="20"/>
        </w:rPr>
        <w:t>Cambridge Journal of Education, 42:1, 53-65, 2012.</w:t>
      </w:r>
      <w:proofErr w:type="gramEnd"/>
      <w:r w:rsidRPr="00417F40">
        <w:rPr>
          <w:rFonts w:ascii="Times New Roman" w:hAnsi="Times New Roman" w:cs="Times New Roman"/>
          <w:sz w:val="20"/>
        </w:rPr>
        <w:t xml:space="preserve"> Available at SSRN: </w:t>
      </w:r>
      <w:hyperlink r:id="rId14" w:history="1">
        <w:r w:rsidRPr="00417F40">
          <w:rPr>
            <w:rStyle w:val="Hyperlink"/>
            <w:rFonts w:ascii="Times New Roman" w:hAnsi="Times New Roman" w:cs="Times New Roman"/>
            <w:sz w:val="20"/>
          </w:rPr>
          <w:t>http://ssrn.com/abstract=2085039</w:t>
        </w:r>
      </w:hyperlink>
      <w:r w:rsidRPr="00417F40">
        <w:rPr>
          <w:rFonts w:ascii="Times New Roman" w:hAnsi="Times New Roman" w:cs="Times New Roman"/>
          <w:sz w:val="20"/>
        </w:rPr>
        <w:t xml:space="preserve"> ;</w:t>
      </w:r>
    </w:p>
  </w:footnote>
  <w:footnote w:id="37">
    <w:p w14:paraId="6C5D3E57" w14:textId="77777777" w:rsidR="008E1C6B" w:rsidRPr="00417F40" w:rsidRDefault="008E1C6B" w:rsidP="008E1C6B">
      <w:pPr>
        <w:pStyle w:val="FootnoteText"/>
        <w:rPr>
          <w:sz w:val="20"/>
          <w:szCs w:val="20"/>
        </w:rPr>
      </w:pPr>
      <w:r w:rsidRPr="00417F40">
        <w:rPr>
          <w:rStyle w:val="FootnoteReference"/>
          <w:sz w:val="20"/>
          <w:szCs w:val="20"/>
        </w:rPr>
        <w:footnoteRef/>
      </w:r>
      <w:r w:rsidRPr="00417F40">
        <w:rPr>
          <w:sz w:val="20"/>
          <w:szCs w:val="20"/>
        </w:rPr>
        <w:t xml:space="preserve"> Bowring, Bill</w:t>
      </w:r>
    </w:p>
  </w:footnote>
  <w:footnote w:id="38">
    <w:p w14:paraId="502D92F4" w14:textId="77777777" w:rsidR="008E1C6B" w:rsidRPr="00417F40" w:rsidRDefault="008E1C6B" w:rsidP="008E1C6B">
      <w:pPr>
        <w:pStyle w:val="FootnoteText"/>
        <w:rPr>
          <w:sz w:val="20"/>
          <w:szCs w:val="20"/>
        </w:rPr>
      </w:pPr>
      <w:r w:rsidRPr="00417F40">
        <w:rPr>
          <w:rStyle w:val="FootnoteReference"/>
          <w:sz w:val="20"/>
          <w:szCs w:val="20"/>
        </w:rPr>
        <w:footnoteRef/>
      </w:r>
      <w:r w:rsidRPr="00417F40">
        <w:rPr>
          <w:sz w:val="20"/>
          <w:szCs w:val="20"/>
        </w:rPr>
        <w:t xml:space="preserve"> See Article 26 of the UDHR</w:t>
      </w:r>
    </w:p>
  </w:footnote>
  <w:footnote w:id="39">
    <w:p w14:paraId="7F6B8483" w14:textId="77777777" w:rsidR="008E1C6B" w:rsidRPr="00417F40" w:rsidRDefault="008E1C6B" w:rsidP="008E1C6B">
      <w:pPr>
        <w:pStyle w:val="FootnoteText"/>
        <w:rPr>
          <w:sz w:val="20"/>
          <w:szCs w:val="20"/>
        </w:rPr>
      </w:pPr>
      <w:r w:rsidRPr="00417F40">
        <w:rPr>
          <w:rStyle w:val="FootnoteReference"/>
          <w:sz w:val="20"/>
          <w:szCs w:val="20"/>
        </w:rPr>
        <w:footnoteRef/>
      </w:r>
      <w:r w:rsidRPr="00417F40">
        <w:rPr>
          <w:sz w:val="20"/>
          <w:szCs w:val="20"/>
        </w:rPr>
        <w:t xml:space="preserve"> Article 1(a) of UNESCO’s recommendation states” The word education implies the entire process of social life by means of which individuals and social groups learn to develop consciously within, and for the benefit of, the national and international communities, the whole of their personal capacities, attitudes, aptitudes and knowledge.”</w:t>
      </w:r>
    </w:p>
  </w:footnote>
  <w:footnote w:id="40">
    <w:p w14:paraId="5AC788AE" w14:textId="77777777" w:rsidR="008E1C6B" w:rsidRPr="00417F40" w:rsidRDefault="008E1C6B" w:rsidP="008E1C6B">
      <w:pPr>
        <w:pStyle w:val="FootnoteText"/>
        <w:rPr>
          <w:sz w:val="20"/>
          <w:szCs w:val="20"/>
        </w:rPr>
      </w:pPr>
      <w:r w:rsidRPr="00417F40">
        <w:rPr>
          <w:rStyle w:val="FootnoteReference"/>
          <w:sz w:val="20"/>
          <w:szCs w:val="20"/>
        </w:rPr>
        <w:footnoteRef/>
      </w:r>
      <w:r w:rsidRPr="00417F40">
        <w:rPr>
          <w:sz w:val="20"/>
          <w:szCs w:val="20"/>
        </w:rPr>
        <w:t xml:space="preserve"> Quotes from Bowring, Bill</w:t>
      </w:r>
    </w:p>
  </w:footnote>
  <w:footnote w:id="41">
    <w:p w14:paraId="33D3550D" w14:textId="77777777" w:rsidR="008E1C6B" w:rsidRPr="00417F40" w:rsidRDefault="008E1C6B" w:rsidP="008E1C6B">
      <w:pPr>
        <w:pStyle w:val="FootnoteText"/>
        <w:rPr>
          <w:sz w:val="20"/>
          <w:szCs w:val="20"/>
        </w:rPr>
      </w:pPr>
      <w:r w:rsidRPr="00417F40">
        <w:rPr>
          <w:rStyle w:val="FootnoteReference"/>
          <w:sz w:val="20"/>
          <w:szCs w:val="20"/>
        </w:rPr>
        <w:footnoteRef/>
      </w:r>
      <w:r w:rsidRPr="00417F40">
        <w:rPr>
          <w:sz w:val="20"/>
          <w:szCs w:val="20"/>
        </w:rPr>
        <w:t xml:space="preserve"> Dunne, Timothy, and Nicholas J. Wheeler. </w:t>
      </w:r>
      <w:proofErr w:type="gramStart"/>
      <w:r w:rsidRPr="00417F40">
        <w:rPr>
          <w:i/>
          <w:iCs/>
          <w:sz w:val="20"/>
          <w:szCs w:val="20"/>
        </w:rPr>
        <w:t>Human Rights in Global Politics</w:t>
      </w:r>
      <w:r w:rsidRPr="00417F40">
        <w:rPr>
          <w:sz w:val="20"/>
          <w:szCs w:val="20"/>
        </w:rPr>
        <w:t>.</w:t>
      </w:r>
      <w:proofErr w:type="gramEnd"/>
      <w:r w:rsidRPr="00417F40">
        <w:rPr>
          <w:sz w:val="20"/>
          <w:szCs w:val="20"/>
        </w:rPr>
        <w:t xml:space="preserve"> Cambridge: Cambridge University Press, 1999. </w:t>
      </w:r>
    </w:p>
  </w:footnote>
  <w:footnote w:id="42">
    <w:p w14:paraId="4D72A565" w14:textId="77777777" w:rsidR="008E1C6B" w:rsidRPr="00417F40" w:rsidRDefault="008E1C6B" w:rsidP="008E1C6B">
      <w:pPr>
        <w:pStyle w:val="FootnoteText"/>
        <w:rPr>
          <w:sz w:val="20"/>
          <w:szCs w:val="20"/>
        </w:rPr>
      </w:pPr>
      <w:r w:rsidRPr="00417F40">
        <w:rPr>
          <w:rStyle w:val="FootnoteReference"/>
          <w:sz w:val="20"/>
          <w:szCs w:val="20"/>
        </w:rPr>
        <w:footnoteRef/>
      </w:r>
      <w:r w:rsidRPr="00417F40">
        <w:rPr>
          <w:sz w:val="20"/>
          <w:szCs w:val="20"/>
        </w:rPr>
        <w:t xml:space="preserve"> </w:t>
      </w:r>
      <w:proofErr w:type="spellStart"/>
      <w:r w:rsidRPr="00417F40">
        <w:rPr>
          <w:sz w:val="20"/>
          <w:szCs w:val="20"/>
        </w:rPr>
        <w:t>Teegen</w:t>
      </w:r>
      <w:proofErr w:type="spellEnd"/>
      <w:r w:rsidRPr="00417F40">
        <w:rPr>
          <w:sz w:val="20"/>
          <w:szCs w:val="20"/>
        </w:rPr>
        <w:t xml:space="preserve">, </w:t>
      </w:r>
      <w:proofErr w:type="spellStart"/>
      <w:r w:rsidRPr="00417F40">
        <w:rPr>
          <w:sz w:val="20"/>
          <w:szCs w:val="20"/>
        </w:rPr>
        <w:t>Hildy</w:t>
      </w:r>
      <w:proofErr w:type="spellEnd"/>
      <w:r w:rsidRPr="00417F40">
        <w:rPr>
          <w:sz w:val="20"/>
          <w:szCs w:val="20"/>
        </w:rPr>
        <w:t xml:space="preserve">, Jonathan P. </w:t>
      </w:r>
      <w:proofErr w:type="spellStart"/>
      <w:r w:rsidRPr="00417F40">
        <w:rPr>
          <w:sz w:val="20"/>
          <w:szCs w:val="20"/>
        </w:rPr>
        <w:t>Doh</w:t>
      </w:r>
      <w:proofErr w:type="spellEnd"/>
      <w:r w:rsidRPr="00417F40">
        <w:rPr>
          <w:sz w:val="20"/>
          <w:szCs w:val="20"/>
        </w:rPr>
        <w:t xml:space="preserve">, and </w:t>
      </w:r>
      <w:proofErr w:type="spellStart"/>
      <w:r w:rsidRPr="00417F40">
        <w:rPr>
          <w:sz w:val="20"/>
          <w:szCs w:val="20"/>
        </w:rPr>
        <w:t>Sushil</w:t>
      </w:r>
      <w:proofErr w:type="spellEnd"/>
      <w:r w:rsidRPr="00417F40">
        <w:rPr>
          <w:sz w:val="20"/>
          <w:szCs w:val="20"/>
        </w:rPr>
        <w:t xml:space="preserve"> </w:t>
      </w:r>
      <w:proofErr w:type="spellStart"/>
      <w:r w:rsidRPr="00417F40">
        <w:rPr>
          <w:sz w:val="20"/>
          <w:szCs w:val="20"/>
        </w:rPr>
        <w:t>Vachani</w:t>
      </w:r>
      <w:proofErr w:type="spellEnd"/>
      <w:r w:rsidRPr="00417F40">
        <w:rPr>
          <w:sz w:val="20"/>
          <w:szCs w:val="20"/>
        </w:rPr>
        <w:t xml:space="preserve">. "The importance of nongovernmental organizations (NGOs) in global governance and value creation: an international business research agenda." </w:t>
      </w:r>
      <w:r w:rsidRPr="00417F40">
        <w:rPr>
          <w:i/>
          <w:iCs/>
          <w:sz w:val="20"/>
          <w:szCs w:val="20"/>
        </w:rPr>
        <w:t>Journal of International Business Studies</w:t>
      </w:r>
      <w:r w:rsidRPr="00417F40">
        <w:rPr>
          <w:sz w:val="20"/>
          <w:szCs w:val="20"/>
        </w:rPr>
        <w:t xml:space="preserve"> (2004): doi:10.1057/palgrave.jibs.8400112. </w:t>
      </w:r>
    </w:p>
  </w:footnote>
  <w:footnote w:id="43">
    <w:p w14:paraId="423FED15" w14:textId="77777777" w:rsidR="008E1C6B" w:rsidRPr="00417F40" w:rsidRDefault="008E1C6B" w:rsidP="008E1C6B">
      <w:pPr>
        <w:autoSpaceDE w:val="0"/>
        <w:autoSpaceDN w:val="0"/>
        <w:adjustRightInd w:val="0"/>
        <w:spacing w:line="240" w:lineRule="auto"/>
        <w:rPr>
          <w:rFonts w:ascii="Times New Roman" w:hAnsi="Times New Roman" w:cs="Times New Roman"/>
          <w:sz w:val="20"/>
        </w:rPr>
      </w:pPr>
      <w:r w:rsidRPr="00417F40">
        <w:rPr>
          <w:rStyle w:val="FootnoteReference"/>
          <w:rFonts w:ascii="Times New Roman" w:hAnsi="Times New Roman" w:cs="Times New Roman"/>
          <w:sz w:val="20"/>
        </w:rPr>
        <w:footnoteRef/>
      </w:r>
      <w:r w:rsidRPr="00417F40">
        <w:rPr>
          <w:rFonts w:ascii="Times New Roman" w:hAnsi="Times New Roman" w:cs="Times New Roman"/>
          <w:sz w:val="20"/>
        </w:rPr>
        <w:t xml:space="preserve"> </w:t>
      </w:r>
      <w:proofErr w:type="spellStart"/>
      <w:r w:rsidRPr="00417F40">
        <w:rPr>
          <w:rFonts w:ascii="Times New Roman" w:hAnsi="Times New Roman" w:cs="Times New Roman"/>
          <w:sz w:val="20"/>
        </w:rPr>
        <w:t>Felisa</w:t>
      </w:r>
      <w:proofErr w:type="spellEnd"/>
      <w:r w:rsidRPr="00417F40">
        <w:rPr>
          <w:rFonts w:ascii="Times New Roman" w:hAnsi="Times New Roman" w:cs="Times New Roman"/>
          <w:sz w:val="20"/>
        </w:rPr>
        <w:t xml:space="preserve"> </w:t>
      </w:r>
      <w:proofErr w:type="spellStart"/>
      <w:r w:rsidRPr="00417F40">
        <w:rPr>
          <w:rFonts w:ascii="Times New Roman" w:hAnsi="Times New Roman" w:cs="Times New Roman"/>
          <w:sz w:val="20"/>
        </w:rPr>
        <w:t>Tibbitts</w:t>
      </w:r>
      <w:proofErr w:type="spellEnd"/>
      <w:r w:rsidRPr="00417F40">
        <w:rPr>
          <w:rFonts w:ascii="Times New Roman" w:hAnsi="Times New Roman" w:cs="Times New Roman"/>
          <w:sz w:val="20"/>
        </w:rPr>
        <w:t xml:space="preserve">, </w:t>
      </w:r>
      <w:r w:rsidRPr="00417F40">
        <w:rPr>
          <w:rFonts w:ascii="Times New Roman" w:hAnsi="Times New Roman" w:cs="Times New Roman"/>
          <w:i/>
          <w:iCs/>
          <w:sz w:val="20"/>
        </w:rPr>
        <w:t>Human Rights Education</w:t>
      </w:r>
      <w:r w:rsidRPr="00417F40">
        <w:rPr>
          <w:rFonts w:ascii="Times New Roman" w:hAnsi="Times New Roman" w:cs="Times New Roman"/>
          <w:sz w:val="20"/>
        </w:rPr>
        <w:t xml:space="preserve">, </w:t>
      </w:r>
      <w:r w:rsidRPr="00417F40">
        <w:rPr>
          <w:rFonts w:ascii="Times New Roman" w:hAnsi="Times New Roman" w:cs="Times New Roman"/>
          <w:i/>
          <w:iCs/>
          <w:sz w:val="20"/>
        </w:rPr>
        <w:t xml:space="preserve">in </w:t>
      </w:r>
      <w:r w:rsidRPr="00417F40">
        <w:rPr>
          <w:rFonts w:ascii="Times New Roman" w:hAnsi="Times New Roman" w:cs="Times New Roman"/>
          <w:sz w:val="20"/>
        </w:rPr>
        <w:t>Encyclopedia of Peace Education 99 (</w:t>
      </w:r>
      <w:proofErr w:type="spellStart"/>
      <w:r w:rsidRPr="00417F40">
        <w:rPr>
          <w:rFonts w:ascii="Times New Roman" w:hAnsi="Times New Roman" w:cs="Times New Roman"/>
          <w:sz w:val="20"/>
        </w:rPr>
        <w:t>Monisha</w:t>
      </w:r>
      <w:proofErr w:type="spellEnd"/>
      <w:r w:rsidRPr="00417F40">
        <w:rPr>
          <w:rFonts w:ascii="Times New Roman" w:hAnsi="Times New Roman" w:cs="Times New Roman"/>
          <w:sz w:val="20"/>
        </w:rPr>
        <w:t xml:space="preserve"> Bajaj ed., 2008)</w:t>
      </w:r>
    </w:p>
  </w:footnote>
  <w:footnote w:id="44">
    <w:p w14:paraId="29770CDB" w14:textId="77777777" w:rsidR="008E1C6B" w:rsidRPr="00417F40" w:rsidRDefault="008E1C6B" w:rsidP="008E1C6B">
      <w:pPr>
        <w:autoSpaceDE w:val="0"/>
        <w:autoSpaceDN w:val="0"/>
        <w:adjustRightInd w:val="0"/>
        <w:spacing w:line="240" w:lineRule="auto"/>
        <w:rPr>
          <w:rFonts w:ascii="Times New Roman" w:hAnsi="Times New Roman" w:cs="Times New Roman"/>
          <w:sz w:val="20"/>
        </w:rPr>
      </w:pPr>
      <w:r w:rsidRPr="00417F40">
        <w:rPr>
          <w:rStyle w:val="FootnoteReference"/>
          <w:rFonts w:ascii="Times New Roman" w:hAnsi="Times New Roman" w:cs="Times New Roman"/>
          <w:sz w:val="20"/>
        </w:rPr>
        <w:footnoteRef/>
      </w:r>
      <w:r w:rsidRPr="00417F40">
        <w:rPr>
          <w:rFonts w:ascii="Times New Roman" w:hAnsi="Times New Roman" w:cs="Times New Roman"/>
          <w:sz w:val="20"/>
        </w:rPr>
        <w:t xml:space="preserve"> Bajaj, </w:t>
      </w:r>
      <w:proofErr w:type="spellStart"/>
      <w:r w:rsidRPr="00417F40">
        <w:rPr>
          <w:rFonts w:ascii="Times New Roman" w:hAnsi="Times New Roman" w:cs="Times New Roman"/>
          <w:sz w:val="20"/>
        </w:rPr>
        <w:t>Monisha</w:t>
      </w:r>
      <w:proofErr w:type="spellEnd"/>
      <w:r w:rsidRPr="00417F40">
        <w:rPr>
          <w:rFonts w:ascii="Times New Roman" w:hAnsi="Times New Roman" w:cs="Times New Roman"/>
          <w:sz w:val="20"/>
        </w:rPr>
        <w:t xml:space="preserve">. "Human Rights Education: Ideology, Location, and Approaches." </w:t>
      </w:r>
      <w:r w:rsidRPr="00417F40">
        <w:rPr>
          <w:rFonts w:ascii="Times New Roman" w:hAnsi="Times New Roman" w:cs="Times New Roman"/>
          <w:i/>
          <w:iCs/>
          <w:sz w:val="20"/>
        </w:rPr>
        <w:t>Human Rights Quarterly</w:t>
      </w:r>
      <w:r w:rsidRPr="00417F40">
        <w:rPr>
          <w:rFonts w:ascii="Times New Roman" w:hAnsi="Times New Roman" w:cs="Times New Roman"/>
          <w:sz w:val="20"/>
        </w:rPr>
        <w:t xml:space="preserve"> (2011); Nancy Flowers, </w:t>
      </w:r>
      <w:r w:rsidRPr="00417F40">
        <w:rPr>
          <w:rFonts w:ascii="Times New Roman" w:hAnsi="Times New Roman" w:cs="Times New Roman"/>
          <w:i/>
          <w:iCs/>
          <w:sz w:val="20"/>
        </w:rPr>
        <w:t>What is Human Rights Education?</w:t>
      </w:r>
      <w:r w:rsidRPr="00417F40">
        <w:rPr>
          <w:rFonts w:ascii="Times New Roman" w:hAnsi="Times New Roman" w:cs="Times New Roman"/>
          <w:sz w:val="20"/>
        </w:rPr>
        <w:t xml:space="preserve">, </w:t>
      </w:r>
      <w:r w:rsidRPr="00417F40">
        <w:rPr>
          <w:rFonts w:ascii="Times New Roman" w:hAnsi="Times New Roman" w:cs="Times New Roman"/>
          <w:i/>
          <w:iCs/>
          <w:sz w:val="20"/>
        </w:rPr>
        <w:t xml:space="preserve">in </w:t>
      </w:r>
      <w:r w:rsidRPr="00417F40">
        <w:rPr>
          <w:rFonts w:ascii="Times New Roman" w:hAnsi="Times New Roman" w:cs="Times New Roman"/>
          <w:sz w:val="20"/>
        </w:rPr>
        <w:t xml:space="preserve">A Survey of Human Rights Education (Bertelsmann </w:t>
      </w:r>
      <w:proofErr w:type="spellStart"/>
      <w:r w:rsidRPr="00417F40">
        <w:rPr>
          <w:rFonts w:ascii="Times New Roman" w:hAnsi="Times New Roman" w:cs="Times New Roman"/>
          <w:sz w:val="20"/>
        </w:rPr>
        <w:t>Verlag</w:t>
      </w:r>
      <w:proofErr w:type="spellEnd"/>
      <w:r w:rsidRPr="00417F40">
        <w:rPr>
          <w:rFonts w:ascii="Times New Roman" w:hAnsi="Times New Roman" w:cs="Times New Roman"/>
          <w:sz w:val="20"/>
        </w:rPr>
        <w:t xml:space="preserve"> ed., 2003); Garth </w:t>
      </w:r>
      <w:proofErr w:type="spellStart"/>
      <w:r w:rsidRPr="00417F40">
        <w:rPr>
          <w:rFonts w:ascii="Times New Roman" w:hAnsi="Times New Roman" w:cs="Times New Roman"/>
          <w:sz w:val="20"/>
        </w:rPr>
        <w:t>Meintjes</w:t>
      </w:r>
      <w:proofErr w:type="spellEnd"/>
      <w:r w:rsidRPr="00417F40">
        <w:rPr>
          <w:rFonts w:ascii="Times New Roman" w:hAnsi="Times New Roman" w:cs="Times New Roman"/>
          <w:sz w:val="20"/>
        </w:rPr>
        <w:t xml:space="preserve">, </w:t>
      </w:r>
      <w:r w:rsidRPr="00417F40">
        <w:rPr>
          <w:rFonts w:ascii="Times New Roman" w:hAnsi="Times New Roman" w:cs="Times New Roman"/>
          <w:i/>
          <w:iCs/>
          <w:sz w:val="20"/>
        </w:rPr>
        <w:t>Human Rights Education as Empowerment: Reflections on Pedagogy</w:t>
      </w:r>
      <w:r w:rsidRPr="00417F40">
        <w:rPr>
          <w:rFonts w:ascii="Times New Roman" w:hAnsi="Times New Roman" w:cs="Times New Roman"/>
          <w:sz w:val="20"/>
        </w:rPr>
        <w:t xml:space="preserve">, </w:t>
      </w:r>
      <w:r w:rsidRPr="00417F40">
        <w:rPr>
          <w:rFonts w:ascii="Times New Roman" w:hAnsi="Times New Roman" w:cs="Times New Roman"/>
          <w:i/>
          <w:iCs/>
          <w:sz w:val="20"/>
        </w:rPr>
        <w:t xml:space="preserve">in </w:t>
      </w:r>
      <w:r w:rsidRPr="00417F40">
        <w:rPr>
          <w:rFonts w:ascii="Times New Roman" w:hAnsi="Times New Roman" w:cs="Times New Roman"/>
          <w:sz w:val="20"/>
        </w:rPr>
        <w:t xml:space="preserve">Human Rights Education for the Twenty First Century 134 (George J. </w:t>
      </w:r>
      <w:proofErr w:type="spellStart"/>
      <w:r w:rsidRPr="00417F40">
        <w:rPr>
          <w:rFonts w:ascii="Times New Roman" w:hAnsi="Times New Roman" w:cs="Times New Roman"/>
          <w:sz w:val="20"/>
        </w:rPr>
        <w:t>Andreopoulos</w:t>
      </w:r>
      <w:proofErr w:type="spellEnd"/>
      <w:r w:rsidRPr="00417F40">
        <w:rPr>
          <w:rFonts w:ascii="Times New Roman" w:hAnsi="Times New Roman" w:cs="Times New Roman"/>
          <w:sz w:val="20"/>
        </w:rPr>
        <w:t xml:space="preserve"> &amp; Richard P. Claude eds., 1997); Norma </w:t>
      </w:r>
      <w:proofErr w:type="spellStart"/>
      <w:r w:rsidRPr="00417F40">
        <w:rPr>
          <w:rFonts w:ascii="Times New Roman" w:hAnsi="Times New Roman" w:cs="Times New Roman"/>
          <w:sz w:val="20"/>
        </w:rPr>
        <w:t>Tarrow</w:t>
      </w:r>
      <w:proofErr w:type="spellEnd"/>
      <w:r w:rsidRPr="00417F40">
        <w:rPr>
          <w:rFonts w:ascii="Times New Roman" w:hAnsi="Times New Roman" w:cs="Times New Roman"/>
          <w:sz w:val="20"/>
        </w:rPr>
        <w:t xml:space="preserve">, </w:t>
      </w:r>
      <w:r w:rsidRPr="00417F40">
        <w:rPr>
          <w:rFonts w:ascii="Times New Roman" w:hAnsi="Times New Roman" w:cs="Times New Roman"/>
          <w:i/>
          <w:iCs/>
          <w:sz w:val="20"/>
        </w:rPr>
        <w:t>Human Rights Education: Alternative Conceptions</w:t>
      </w:r>
      <w:r w:rsidRPr="00417F40">
        <w:rPr>
          <w:rFonts w:ascii="Times New Roman" w:hAnsi="Times New Roman" w:cs="Times New Roman"/>
          <w:sz w:val="20"/>
        </w:rPr>
        <w:t xml:space="preserve">, </w:t>
      </w:r>
      <w:r w:rsidRPr="00417F40">
        <w:rPr>
          <w:rFonts w:ascii="Times New Roman" w:hAnsi="Times New Roman" w:cs="Times New Roman"/>
          <w:i/>
          <w:iCs/>
          <w:sz w:val="20"/>
        </w:rPr>
        <w:t xml:space="preserve">in </w:t>
      </w:r>
      <w:r w:rsidRPr="00417F40">
        <w:rPr>
          <w:rFonts w:ascii="Times New Roman" w:hAnsi="Times New Roman" w:cs="Times New Roman"/>
          <w:sz w:val="20"/>
        </w:rPr>
        <w:t xml:space="preserve">Human Rights, Education and Global Responsibilities 21, 22 (James Lynch, Celia </w:t>
      </w:r>
      <w:proofErr w:type="spellStart"/>
      <w:r w:rsidRPr="00417F40">
        <w:rPr>
          <w:rFonts w:ascii="Times New Roman" w:hAnsi="Times New Roman" w:cs="Times New Roman"/>
          <w:sz w:val="20"/>
        </w:rPr>
        <w:t>Modgil</w:t>
      </w:r>
      <w:proofErr w:type="spellEnd"/>
      <w:r w:rsidRPr="00417F40">
        <w:rPr>
          <w:rFonts w:ascii="Times New Roman" w:hAnsi="Times New Roman" w:cs="Times New Roman"/>
          <w:sz w:val="20"/>
        </w:rPr>
        <w:t xml:space="preserve"> &amp; </w:t>
      </w:r>
      <w:proofErr w:type="spellStart"/>
      <w:r w:rsidRPr="00417F40">
        <w:rPr>
          <w:rFonts w:ascii="Times New Roman" w:hAnsi="Times New Roman" w:cs="Times New Roman"/>
          <w:sz w:val="20"/>
        </w:rPr>
        <w:t>Sohan</w:t>
      </w:r>
      <w:proofErr w:type="spellEnd"/>
      <w:r w:rsidRPr="00417F40">
        <w:rPr>
          <w:rFonts w:ascii="Times New Roman" w:hAnsi="Times New Roman" w:cs="Times New Roman"/>
          <w:sz w:val="20"/>
        </w:rPr>
        <w:t xml:space="preserve"> </w:t>
      </w:r>
      <w:proofErr w:type="spellStart"/>
      <w:r w:rsidRPr="00417F40">
        <w:rPr>
          <w:rFonts w:ascii="Times New Roman" w:hAnsi="Times New Roman" w:cs="Times New Roman"/>
          <w:sz w:val="20"/>
        </w:rPr>
        <w:t>Modgil</w:t>
      </w:r>
      <w:proofErr w:type="spellEnd"/>
      <w:r w:rsidRPr="00417F40">
        <w:rPr>
          <w:rFonts w:ascii="Times New Roman" w:hAnsi="Times New Roman" w:cs="Times New Roman"/>
          <w:sz w:val="20"/>
        </w:rPr>
        <w:t xml:space="preserve"> eds., 1992);</w:t>
      </w:r>
    </w:p>
  </w:footnote>
  <w:footnote w:id="45">
    <w:p w14:paraId="5734F94F" w14:textId="77777777" w:rsidR="008E1C6B" w:rsidRPr="00417F40" w:rsidRDefault="008E1C6B" w:rsidP="008E1C6B">
      <w:pPr>
        <w:pStyle w:val="FootnoteText"/>
        <w:rPr>
          <w:sz w:val="20"/>
          <w:szCs w:val="20"/>
        </w:rPr>
      </w:pPr>
      <w:r w:rsidRPr="00417F40">
        <w:rPr>
          <w:rStyle w:val="FootnoteReference"/>
          <w:sz w:val="20"/>
          <w:szCs w:val="20"/>
        </w:rPr>
        <w:footnoteRef/>
      </w:r>
      <w:r w:rsidRPr="00417F40">
        <w:rPr>
          <w:sz w:val="20"/>
          <w:szCs w:val="20"/>
        </w:rPr>
        <w:t xml:space="preserve"> Bajaj, </w:t>
      </w:r>
      <w:proofErr w:type="spellStart"/>
      <w:r w:rsidRPr="00417F40">
        <w:rPr>
          <w:sz w:val="20"/>
          <w:szCs w:val="20"/>
        </w:rPr>
        <w:t>Monisha</w:t>
      </w:r>
      <w:proofErr w:type="spellEnd"/>
      <w:r w:rsidRPr="00417F40">
        <w:rPr>
          <w:sz w:val="20"/>
          <w:szCs w:val="20"/>
        </w:rPr>
        <w:t xml:space="preserve">. "Human Rights Education: Ideology, Location, and Approaches." </w:t>
      </w:r>
      <w:r w:rsidRPr="00417F40">
        <w:rPr>
          <w:i/>
          <w:iCs/>
          <w:sz w:val="20"/>
          <w:szCs w:val="20"/>
        </w:rPr>
        <w:t>Human Rights Quarterly</w:t>
      </w:r>
      <w:r w:rsidRPr="00417F40">
        <w:rPr>
          <w:sz w:val="20"/>
          <w:szCs w:val="20"/>
        </w:rPr>
        <w:t xml:space="preserve"> (2011)</w:t>
      </w:r>
    </w:p>
  </w:footnote>
  <w:footnote w:id="46">
    <w:p w14:paraId="264D3E0B" w14:textId="77777777" w:rsidR="008E1C6B" w:rsidRPr="00417F40" w:rsidRDefault="008E1C6B" w:rsidP="008E1C6B">
      <w:pPr>
        <w:autoSpaceDE w:val="0"/>
        <w:autoSpaceDN w:val="0"/>
        <w:adjustRightInd w:val="0"/>
        <w:spacing w:line="240" w:lineRule="auto"/>
        <w:rPr>
          <w:rFonts w:ascii="Times New Roman" w:hAnsi="Times New Roman" w:cs="Times New Roman"/>
          <w:i/>
          <w:iCs/>
          <w:sz w:val="20"/>
        </w:rPr>
      </w:pPr>
      <w:r w:rsidRPr="00417F40">
        <w:rPr>
          <w:rStyle w:val="FootnoteReference"/>
          <w:rFonts w:ascii="Times New Roman" w:hAnsi="Times New Roman" w:cs="Times New Roman"/>
          <w:sz w:val="20"/>
        </w:rPr>
        <w:footnoteRef/>
      </w:r>
      <w:r w:rsidRPr="00417F40">
        <w:rPr>
          <w:rFonts w:ascii="Times New Roman" w:hAnsi="Times New Roman" w:cs="Times New Roman"/>
          <w:sz w:val="20"/>
        </w:rPr>
        <w:t xml:space="preserve"> </w:t>
      </w:r>
      <w:proofErr w:type="spellStart"/>
      <w:r w:rsidRPr="00417F40">
        <w:rPr>
          <w:rFonts w:ascii="Times New Roman" w:hAnsi="Times New Roman" w:cs="Times New Roman"/>
          <w:sz w:val="20"/>
        </w:rPr>
        <w:t>Felisa</w:t>
      </w:r>
      <w:proofErr w:type="spellEnd"/>
      <w:r w:rsidRPr="00417F40">
        <w:rPr>
          <w:rFonts w:ascii="Times New Roman" w:hAnsi="Times New Roman" w:cs="Times New Roman"/>
          <w:sz w:val="20"/>
        </w:rPr>
        <w:t xml:space="preserve"> </w:t>
      </w:r>
      <w:proofErr w:type="spellStart"/>
      <w:r w:rsidRPr="00417F40">
        <w:rPr>
          <w:rFonts w:ascii="Times New Roman" w:hAnsi="Times New Roman" w:cs="Times New Roman"/>
          <w:sz w:val="20"/>
        </w:rPr>
        <w:t>Tibbitts</w:t>
      </w:r>
      <w:proofErr w:type="spellEnd"/>
      <w:r w:rsidRPr="00417F40">
        <w:rPr>
          <w:rFonts w:ascii="Times New Roman" w:hAnsi="Times New Roman" w:cs="Times New Roman"/>
          <w:sz w:val="20"/>
        </w:rPr>
        <w:t xml:space="preserve">, </w:t>
      </w:r>
      <w:r w:rsidRPr="00417F40">
        <w:rPr>
          <w:rFonts w:ascii="Times New Roman" w:hAnsi="Times New Roman" w:cs="Times New Roman"/>
          <w:i/>
          <w:iCs/>
          <w:sz w:val="20"/>
        </w:rPr>
        <w:t>Transformative Learning and Human Rights Education: Taking a Closer Look</w:t>
      </w:r>
      <w:r w:rsidRPr="00417F40">
        <w:rPr>
          <w:rFonts w:ascii="Times New Roman" w:hAnsi="Times New Roman" w:cs="Times New Roman"/>
          <w:sz w:val="20"/>
        </w:rPr>
        <w:t>, 16 Intercultural Educ. 107, 107 (2005)</w:t>
      </w:r>
    </w:p>
  </w:footnote>
  <w:footnote w:id="47">
    <w:p w14:paraId="7C51E683" w14:textId="77777777" w:rsidR="008E1C6B" w:rsidRPr="00417F40" w:rsidRDefault="008E1C6B" w:rsidP="008E1C6B">
      <w:pPr>
        <w:pStyle w:val="FootnoteText"/>
        <w:rPr>
          <w:sz w:val="20"/>
          <w:szCs w:val="20"/>
        </w:rPr>
      </w:pPr>
      <w:r w:rsidRPr="00417F40">
        <w:rPr>
          <w:rStyle w:val="FootnoteReference"/>
          <w:sz w:val="20"/>
          <w:szCs w:val="20"/>
        </w:rPr>
        <w:footnoteRef/>
      </w:r>
      <w:r w:rsidRPr="00417F40">
        <w:rPr>
          <w:sz w:val="20"/>
          <w:szCs w:val="20"/>
        </w:rPr>
        <w:t xml:space="preserve"> Amnesty International, Human Rights Education, </w:t>
      </w:r>
      <w:r w:rsidRPr="00417F40">
        <w:rPr>
          <w:i/>
          <w:iCs/>
          <w:sz w:val="20"/>
          <w:szCs w:val="20"/>
        </w:rPr>
        <w:t xml:space="preserve">available at </w:t>
      </w:r>
      <w:hyperlink r:id="rId15" w:history="1">
        <w:r w:rsidRPr="00417F40">
          <w:rPr>
            <w:rStyle w:val="Hyperlink"/>
            <w:sz w:val="20"/>
            <w:szCs w:val="20"/>
          </w:rPr>
          <w:t>http://www.amnesty.org/</w:t>
        </w:r>
      </w:hyperlink>
      <w:r w:rsidRPr="00417F40">
        <w:rPr>
          <w:sz w:val="20"/>
          <w:szCs w:val="20"/>
        </w:rPr>
        <w:t xml:space="preserve"> en/human-rights-education.</w:t>
      </w:r>
    </w:p>
  </w:footnote>
  <w:footnote w:id="48">
    <w:p w14:paraId="6D052A78" w14:textId="77777777" w:rsidR="008E1C6B" w:rsidRPr="00417F40" w:rsidRDefault="008E1C6B" w:rsidP="008E1C6B">
      <w:pPr>
        <w:pStyle w:val="FootnoteText"/>
        <w:rPr>
          <w:sz w:val="20"/>
          <w:szCs w:val="20"/>
        </w:rPr>
      </w:pPr>
      <w:r w:rsidRPr="00417F40">
        <w:rPr>
          <w:rStyle w:val="FootnoteReference"/>
          <w:sz w:val="20"/>
          <w:szCs w:val="20"/>
        </w:rPr>
        <w:footnoteRef/>
      </w:r>
      <w:r w:rsidRPr="00417F40">
        <w:rPr>
          <w:sz w:val="20"/>
          <w:szCs w:val="20"/>
        </w:rPr>
        <w:t xml:space="preserve"> </w:t>
      </w:r>
      <w:proofErr w:type="spellStart"/>
      <w:r w:rsidRPr="00417F40">
        <w:rPr>
          <w:sz w:val="20"/>
          <w:szCs w:val="20"/>
        </w:rPr>
        <w:t>Felisa</w:t>
      </w:r>
      <w:proofErr w:type="spellEnd"/>
      <w:r w:rsidRPr="00417F40">
        <w:rPr>
          <w:sz w:val="20"/>
          <w:szCs w:val="20"/>
        </w:rPr>
        <w:t xml:space="preserve"> </w:t>
      </w:r>
      <w:proofErr w:type="spellStart"/>
      <w:r w:rsidRPr="00417F40">
        <w:rPr>
          <w:sz w:val="20"/>
          <w:szCs w:val="20"/>
        </w:rPr>
        <w:t>Tibbitts</w:t>
      </w:r>
      <w:proofErr w:type="spellEnd"/>
      <w:r w:rsidRPr="00417F40">
        <w:rPr>
          <w:sz w:val="20"/>
          <w:szCs w:val="20"/>
        </w:rPr>
        <w:t xml:space="preserve">, </w:t>
      </w:r>
      <w:r w:rsidRPr="00417F40">
        <w:rPr>
          <w:i/>
          <w:iCs/>
          <w:sz w:val="20"/>
          <w:szCs w:val="20"/>
        </w:rPr>
        <w:t>Human Rights Education</w:t>
      </w:r>
      <w:r w:rsidRPr="00417F40">
        <w:rPr>
          <w:sz w:val="20"/>
          <w:szCs w:val="20"/>
        </w:rPr>
        <w:t xml:space="preserve">, </w:t>
      </w:r>
      <w:r w:rsidRPr="00417F40">
        <w:rPr>
          <w:i/>
          <w:iCs/>
          <w:sz w:val="20"/>
          <w:szCs w:val="20"/>
        </w:rPr>
        <w:t xml:space="preserve">in </w:t>
      </w:r>
      <w:r w:rsidRPr="00417F40">
        <w:rPr>
          <w:sz w:val="20"/>
          <w:szCs w:val="20"/>
        </w:rPr>
        <w:t>Encyclopedia of Peace Education 99 (</w:t>
      </w:r>
      <w:proofErr w:type="spellStart"/>
      <w:r w:rsidRPr="00417F40">
        <w:rPr>
          <w:sz w:val="20"/>
          <w:szCs w:val="20"/>
        </w:rPr>
        <w:t>Monisha</w:t>
      </w:r>
      <w:proofErr w:type="spellEnd"/>
      <w:r w:rsidRPr="00417F40">
        <w:rPr>
          <w:sz w:val="20"/>
          <w:szCs w:val="20"/>
        </w:rPr>
        <w:t xml:space="preserve"> Bajaj ed., 2008) p.489</w:t>
      </w:r>
    </w:p>
  </w:footnote>
  <w:footnote w:id="49">
    <w:p w14:paraId="7A3B3999" w14:textId="77777777" w:rsidR="00694C5E" w:rsidRPr="00417F40" w:rsidRDefault="00694C5E" w:rsidP="00122D3A">
      <w:pPr>
        <w:pStyle w:val="NormalWeb"/>
        <w:spacing w:before="0" w:beforeAutospacing="0" w:after="0" w:afterAutospacing="0"/>
        <w:jc w:val="both"/>
        <w:rPr>
          <w:sz w:val="20"/>
          <w:szCs w:val="20"/>
        </w:rPr>
      </w:pPr>
      <w:r w:rsidRPr="00417F40">
        <w:rPr>
          <w:rStyle w:val="FootnoteReference"/>
          <w:sz w:val="20"/>
          <w:szCs w:val="20"/>
        </w:rPr>
        <w:footnoteRef/>
      </w:r>
      <w:r w:rsidRPr="00417F40">
        <w:rPr>
          <w:sz w:val="20"/>
          <w:szCs w:val="20"/>
        </w:rPr>
        <w:t xml:space="preserve"> </w:t>
      </w:r>
      <w:r w:rsidRPr="00417F40">
        <w:rPr>
          <w:color w:val="000000"/>
          <w:sz w:val="20"/>
          <w:szCs w:val="20"/>
          <w:shd w:val="clear" w:color="auto" w:fill="FFFFFF"/>
        </w:rPr>
        <w:t xml:space="preserve">See OECD Guidelines for Multinational Enterprises (2011), available: http://www.oecd.org/document/28/0,3746,en_2649_34889_2397532_1_1_1_1,00.html;  “The OECD's Guidelines for Multinational Enterprises are recommendations addressed by governments to multinational enterprises operating in or from forty three (43) adhering governments, representing most developed states. "The Guidelines provide voluntary principles and standards for responsible business conduct consistent with applicable laws and internationally </w:t>
      </w:r>
      <w:proofErr w:type="spellStart"/>
      <w:r w:rsidRPr="00417F40">
        <w:rPr>
          <w:color w:val="000000"/>
          <w:sz w:val="20"/>
          <w:szCs w:val="20"/>
          <w:shd w:val="clear" w:color="auto" w:fill="FFFFFF"/>
        </w:rPr>
        <w:t>recognised</w:t>
      </w:r>
      <w:proofErr w:type="spellEnd"/>
      <w:r w:rsidRPr="00417F40">
        <w:rPr>
          <w:color w:val="000000"/>
          <w:sz w:val="20"/>
          <w:szCs w:val="20"/>
          <w:shd w:val="clear" w:color="auto" w:fill="FFFFFF"/>
        </w:rPr>
        <w:t xml:space="preserve"> standards. However, the countries adhering to the Guidelines make a binding commitment to implement them in accordance with the Decision of the OECD Council on the OECD Guidelines for Multinational Enterprises.”</w:t>
      </w:r>
    </w:p>
    <w:p w14:paraId="4D1D9419" w14:textId="77777777" w:rsidR="00694C5E" w:rsidRPr="00417F40" w:rsidRDefault="00694C5E" w:rsidP="00122D3A">
      <w:pPr>
        <w:pStyle w:val="FootnoteText"/>
        <w:rPr>
          <w:sz w:val="20"/>
          <w:szCs w:val="20"/>
        </w:rPr>
      </w:pPr>
    </w:p>
  </w:footnote>
  <w:footnote w:id="50">
    <w:p w14:paraId="02C7641E" w14:textId="77777777" w:rsidR="00694C5E" w:rsidRPr="00417F40" w:rsidRDefault="00694C5E" w:rsidP="00122D3A">
      <w:pPr>
        <w:pStyle w:val="NormalWeb"/>
        <w:spacing w:before="0" w:beforeAutospacing="0" w:after="0" w:afterAutospacing="0"/>
        <w:jc w:val="both"/>
        <w:rPr>
          <w:sz w:val="20"/>
          <w:szCs w:val="20"/>
        </w:rPr>
      </w:pPr>
      <w:r w:rsidRPr="00417F40">
        <w:rPr>
          <w:rStyle w:val="FootnoteReference"/>
          <w:sz w:val="20"/>
          <w:szCs w:val="20"/>
        </w:rPr>
        <w:footnoteRef/>
      </w:r>
      <w:r w:rsidRPr="00417F40">
        <w:rPr>
          <w:sz w:val="20"/>
          <w:szCs w:val="20"/>
        </w:rPr>
        <w:t xml:space="preserve"> </w:t>
      </w:r>
      <w:r w:rsidRPr="00417F40">
        <w:rPr>
          <w:color w:val="000000"/>
          <w:sz w:val="20"/>
          <w:szCs w:val="20"/>
          <w:shd w:val="clear" w:color="auto" w:fill="FFFFFF"/>
        </w:rPr>
        <w:t>Organization for Economic Co-operation and Development, “Guidelines for Multinational Enterprises National Treatment International Investment Incentives and Disincentives Consultation Procedures”, June 21</w:t>
      </w:r>
      <w:r w:rsidRPr="00417F40">
        <w:rPr>
          <w:color w:val="000000"/>
          <w:sz w:val="20"/>
          <w:szCs w:val="20"/>
          <w:shd w:val="clear" w:color="auto" w:fill="FFFFFF"/>
          <w:vertAlign w:val="superscript"/>
        </w:rPr>
        <w:t>st</w:t>
      </w:r>
      <w:r w:rsidRPr="00417F40">
        <w:rPr>
          <w:color w:val="000000"/>
          <w:sz w:val="20"/>
          <w:szCs w:val="20"/>
          <w:shd w:val="clear" w:color="auto" w:fill="FFFFFF"/>
        </w:rPr>
        <w:t>, 1976. Available at:</w:t>
      </w:r>
      <w:hyperlink r:id="rId16" w:history="1">
        <w:r w:rsidRPr="00417F40">
          <w:rPr>
            <w:rStyle w:val="Hyperlink"/>
            <w:rFonts w:eastAsia="Arial"/>
            <w:sz w:val="20"/>
            <w:szCs w:val="20"/>
            <w:shd w:val="clear" w:color="auto" w:fill="FFFFFF"/>
          </w:rPr>
          <w:t xml:space="preserve"> </w:t>
        </w:r>
        <w:r w:rsidRPr="00417F40">
          <w:rPr>
            <w:rStyle w:val="Hyperlink"/>
            <w:rFonts w:eastAsia="Arial"/>
            <w:color w:val="1155CC"/>
            <w:sz w:val="20"/>
            <w:szCs w:val="20"/>
            <w:shd w:val="clear" w:color="auto" w:fill="FFFFFF"/>
          </w:rPr>
          <w:t>http://www.oecd.org/daf/inv/mne/50024800.pdf</w:t>
        </w:r>
      </w:hyperlink>
    </w:p>
    <w:p w14:paraId="36588EFE" w14:textId="77777777" w:rsidR="00694C5E" w:rsidRPr="00417F40" w:rsidRDefault="00694C5E" w:rsidP="00122D3A">
      <w:pPr>
        <w:pStyle w:val="FootnoteText"/>
        <w:rPr>
          <w:sz w:val="20"/>
          <w:szCs w:val="20"/>
        </w:rPr>
      </w:pPr>
    </w:p>
  </w:footnote>
  <w:footnote w:id="51">
    <w:p w14:paraId="7E7273AC"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w:t>
      </w:r>
      <w:r w:rsidRPr="00417F40">
        <w:rPr>
          <w:color w:val="000000"/>
          <w:sz w:val="20"/>
          <w:szCs w:val="20"/>
          <w:shd w:val="clear" w:color="auto" w:fill="FFFFFF"/>
        </w:rPr>
        <w:t>See “2011 Update of the Guidelines,” at OECD Guidelines for Multinational Enterprises Website:</w:t>
      </w:r>
      <w:hyperlink r:id="rId17" w:history="1">
        <w:r w:rsidRPr="00417F40">
          <w:rPr>
            <w:rStyle w:val="Hyperlink"/>
            <w:color w:val="000000"/>
            <w:sz w:val="20"/>
            <w:szCs w:val="20"/>
            <w:shd w:val="clear" w:color="auto" w:fill="FFFFFF"/>
          </w:rPr>
          <w:t xml:space="preserve"> </w:t>
        </w:r>
        <w:r w:rsidRPr="00417F40">
          <w:rPr>
            <w:rStyle w:val="Hyperlink"/>
            <w:color w:val="1155CC"/>
            <w:sz w:val="20"/>
            <w:szCs w:val="20"/>
            <w:shd w:val="clear" w:color="auto" w:fill="FFFFFF"/>
          </w:rPr>
          <w:t>http://mneguidelines.oecd.org/text/</w:t>
        </w:r>
      </w:hyperlink>
    </w:p>
    <w:p w14:paraId="07CC96AF" w14:textId="77777777" w:rsidR="00694C5E" w:rsidRPr="00417F40" w:rsidRDefault="00694C5E" w:rsidP="00122D3A">
      <w:pPr>
        <w:pStyle w:val="FootnoteText"/>
        <w:rPr>
          <w:sz w:val="20"/>
          <w:szCs w:val="20"/>
        </w:rPr>
      </w:pPr>
    </w:p>
  </w:footnote>
  <w:footnote w:id="52">
    <w:p w14:paraId="4EBD5B2A"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See </w:t>
      </w:r>
      <w:r w:rsidRPr="00417F40">
        <w:rPr>
          <w:color w:val="000000"/>
          <w:sz w:val="20"/>
          <w:szCs w:val="20"/>
          <w:shd w:val="clear" w:color="auto" w:fill="FFFFFF"/>
        </w:rPr>
        <w:t>Backer et al., supra at note 13.</w:t>
      </w:r>
    </w:p>
  </w:footnote>
  <w:footnote w:id="53">
    <w:p w14:paraId="515F3ED0"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Nelson, Dean. “Indian villagers defeat British billionaire over plans to mine sacred mountain.” </w:t>
      </w:r>
      <w:r w:rsidRPr="00417F40">
        <w:rPr>
          <w:i/>
          <w:sz w:val="20"/>
          <w:szCs w:val="20"/>
        </w:rPr>
        <w:t xml:space="preserve">The Telegraph, </w:t>
      </w:r>
      <w:r w:rsidRPr="00417F40">
        <w:rPr>
          <w:sz w:val="20"/>
          <w:szCs w:val="20"/>
        </w:rPr>
        <w:t xml:space="preserve">last modified Aug 09, 2013. </w:t>
      </w:r>
      <w:hyperlink r:id="rId18" w:history="1">
        <w:r w:rsidRPr="00417F40">
          <w:rPr>
            <w:rStyle w:val="Hyperlink"/>
            <w:sz w:val="20"/>
            <w:szCs w:val="20"/>
          </w:rPr>
          <w:t>http://www.telegraph.co.uk/news/worldnews/asia/india/10234314/Indian-villagers-defeat-British-billionaire-over-plans-to-mine-sacred-mountain.html</w:t>
        </w:r>
      </w:hyperlink>
    </w:p>
  </w:footnote>
  <w:footnote w:id="54">
    <w:p w14:paraId="4DF98242"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Jason Burke, “Indian tribe's Avatar-like battle against mining firm reaches supreme court,” </w:t>
      </w:r>
      <w:r w:rsidRPr="00417F40">
        <w:rPr>
          <w:i/>
          <w:sz w:val="20"/>
          <w:szCs w:val="20"/>
        </w:rPr>
        <w:t xml:space="preserve">The Guardian, </w:t>
      </w:r>
      <w:r w:rsidRPr="00417F40">
        <w:rPr>
          <w:sz w:val="20"/>
          <w:szCs w:val="20"/>
        </w:rPr>
        <w:t xml:space="preserve">last modified April 08, 2012. </w:t>
      </w:r>
      <w:hyperlink r:id="rId19" w:history="1">
        <w:r w:rsidRPr="00417F40">
          <w:rPr>
            <w:rStyle w:val="Hyperlink"/>
            <w:sz w:val="20"/>
            <w:szCs w:val="20"/>
          </w:rPr>
          <w:t>http://www.theguardian.com/world/2012/apr/08/indian-tribe-avatar-supreme-court</w:t>
        </w:r>
      </w:hyperlink>
      <w:r w:rsidRPr="00417F40">
        <w:rPr>
          <w:sz w:val="20"/>
          <w:szCs w:val="20"/>
        </w:rPr>
        <w:t xml:space="preserve">  See also, Kathryn Hopkins, “Indian tribe appeals for Avatar director's help to stop Vedanta,” </w:t>
      </w:r>
      <w:r w:rsidRPr="00417F40">
        <w:rPr>
          <w:i/>
          <w:sz w:val="20"/>
          <w:szCs w:val="20"/>
        </w:rPr>
        <w:t xml:space="preserve">The Guardian, </w:t>
      </w:r>
      <w:r w:rsidRPr="00417F40">
        <w:rPr>
          <w:sz w:val="20"/>
          <w:szCs w:val="20"/>
        </w:rPr>
        <w:t xml:space="preserve">last modified Feb 08, 2010. </w:t>
      </w:r>
      <w:hyperlink r:id="rId20" w:history="1">
        <w:r w:rsidRPr="00417F40">
          <w:rPr>
            <w:rStyle w:val="Hyperlink"/>
            <w:sz w:val="20"/>
            <w:szCs w:val="20"/>
          </w:rPr>
          <w:t>http://www.theguardian.com/business/2010/feb/08/dongria-kondh-help-stop-vedanta</w:t>
        </w:r>
      </w:hyperlink>
      <w:r w:rsidRPr="00417F40">
        <w:rPr>
          <w:sz w:val="20"/>
          <w:szCs w:val="20"/>
        </w:rPr>
        <w:t xml:space="preserve">; and “Real ‘Avatar’ tribe deals fatal blow to Vedanta mine,” </w:t>
      </w:r>
      <w:r w:rsidRPr="00417F40">
        <w:rPr>
          <w:i/>
          <w:sz w:val="20"/>
          <w:szCs w:val="20"/>
        </w:rPr>
        <w:t xml:space="preserve">Survival International, </w:t>
      </w:r>
      <w:r w:rsidRPr="00417F40">
        <w:rPr>
          <w:sz w:val="20"/>
          <w:szCs w:val="20"/>
        </w:rPr>
        <w:t xml:space="preserve">posted 19 August 2013: </w:t>
      </w:r>
      <w:hyperlink r:id="rId21" w:history="1">
        <w:r w:rsidRPr="00417F40">
          <w:rPr>
            <w:rStyle w:val="Hyperlink"/>
            <w:sz w:val="20"/>
            <w:szCs w:val="20"/>
          </w:rPr>
          <w:t>http://www.survivalinternational.org/news/9478</w:t>
        </w:r>
      </w:hyperlink>
    </w:p>
  </w:footnote>
  <w:footnote w:id="55">
    <w:p w14:paraId="78070FDD"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Ibid.</w:t>
      </w:r>
    </w:p>
  </w:footnote>
  <w:footnote w:id="56">
    <w:p w14:paraId="41F89516" w14:textId="77777777" w:rsidR="00694C5E" w:rsidRPr="00417F40" w:rsidRDefault="00694C5E" w:rsidP="00122D3A">
      <w:pPr>
        <w:pStyle w:val="FootnoteText"/>
        <w:rPr>
          <w:bCs/>
          <w:sz w:val="20"/>
          <w:szCs w:val="20"/>
        </w:rPr>
      </w:pPr>
      <w:r w:rsidRPr="00417F40">
        <w:rPr>
          <w:rStyle w:val="FootnoteReference"/>
          <w:sz w:val="20"/>
          <w:szCs w:val="20"/>
        </w:rPr>
        <w:footnoteRef/>
      </w:r>
      <w:r w:rsidRPr="00417F40">
        <w:rPr>
          <w:sz w:val="20"/>
          <w:szCs w:val="20"/>
        </w:rPr>
        <w:t xml:space="preserve"> See note 1 above. See also, </w:t>
      </w:r>
      <w:proofErr w:type="spellStart"/>
      <w:r w:rsidRPr="00417F40">
        <w:rPr>
          <w:sz w:val="20"/>
          <w:szCs w:val="20"/>
        </w:rPr>
        <w:t>Santosh</w:t>
      </w:r>
      <w:proofErr w:type="spellEnd"/>
      <w:r w:rsidRPr="00417F40">
        <w:rPr>
          <w:sz w:val="20"/>
          <w:szCs w:val="20"/>
        </w:rPr>
        <w:t xml:space="preserve"> </w:t>
      </w:r>
      <w:proofErr w:type="spellStart"/>
      <w:r w:rsidRPr="00417F40">
        <w:rPr>
          <w:sz w:val="20"/>
          <w:szCs w:val="20"/>
        </w:rPr>
        <w:t>Patnaik</w:t>
      </w:r>
      <w:proofErr w:type="spellEnd"/>
      <w:r w:rsidRPr="00417F40">
        <w:rPr>
          <w:sz w:val="20"/>
          <w:szCs w:val="20"/>
        </w:rPr>
        <w:t>, “</w:t>
      </w:r>
      <w:proofErr w:type="spellStart"/>
      <w:r w:rsidRPr="00417F40">
        <w:rPr>
          <w:bCs/>
          <w:sz w:val="20"/>
          <w:szCs w:val="20"/>
        </w:rPr>
        <w:t>Dongria</w:t>
      </w:r>
      <w:proofErr w:type="spellEnd"/>
      <w:r w:rsidRPr="00417F40">
        <w:rPr>
          <w:bCs/>
          <w:sz w:val="20"/>
          <w:szCs w:val="20"/>
        </w:rPr>
        <w:t xml:space="preserve"> </w:t>
      </w:r>
      <w:proofErr w:type="spellStart"/>
      <w:r w:rsidRPr="00417F40">
        <w:rPr>
          <w:bCs/>
          <w:sz w:val="20"/>
          <w:szCs w:val="20"/>
        </w:rPr>
        <w:t>Kondhs</w:t>
      </w:r>
      <w:proofErr w:type="spellEnd"/>
      <w:r w:rsidRPr="00417F40">
        <w:rPr>
          <w:bCs/>
          <w:sz w:val="20"/>
          <w:szCs w:val="20"/>
        </w:rPr>
        <w:t xml:space="preserve"> have shown the way,” </w:t>
      </w:r>
      <w:r w:rsidRPr="00417F40">
        <w:rPr>
          <w:bCs/>
          <w:i/>
          <w:sz w:val="20"/>
          <w:szCs w:val="20"/>
        </w:rPr>
        <w:t xml:space="preserve">The Hindu, </w:t>
      </w:r>
      <w:r w:rsidRPr="00417F40">
        <w:rPr>
          <w:bCs/>
          <w:sz w:val="20"/>
          <w:szCs w:val="20"/>
        </w:rPr>
        <w:t xml:space="preserve">last modified August 21, 2013. </w:t>
      </w:r>
      <w:hyperlink r:id="rId22" w:history="1">
        <w:r w:rsidRPr="00417F40">
          <w:rPr>
            <w:rStyle w:val="Hyperlink"/>
            <w:bCs/>
            <w:sz w:val="20"/>
            <w:szCs w:val="20"/>
          </w:rPr>
          <w:t>http://www.thehindu.com/news/national/other-states/dongria-kondhs-have-shown-the-way/article5044669.ece</w:t>
        </w:r>
      </w:hyperlink>
    </w:p>
  </w:footnote>
  <w:footnote w:id="57">
    <w:p w14:paraId="787C33F2"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See The Constitution of India, Art. 24.  Available: </w:t>
      </w:r>
      <w:hyperlink r:id="rId23" w:history="1">
        <w:r w:rsidRPr="00417F40">
          <w:rPr>
            <w:rStyle w:val="Hyperlink"/>
            <w:sz w:val="20"/>
            <w:szCs w:val="20"/>
          </w:rPr>
          <w:t>http://lawmin.nic.in/olwing/coi/coi-english/coi-indexenglish.htm</w:t>
        </w:r>
      </w:hyperlink>
    </w:p>
  </w:footnote>
  <w:footnote w:id="58">
    <w:p w14:paraId="4FE1CBA4" w14:textId="77777777" w:rsidR="00694C5E" w:rsidRPr="00417F40" w:rsidRDefault="00694C5E" w:rsidP="00122D3A">
      <w:pPr>
        <w:pStyle w:val="FootnoteText"/>
        <w:rPr>
          <w:bCs/>
          <w:sz w:val="20"/>
          <w:szCs w:val="20"/>
        </w:rPr>
      </w:pPr>
      <w:r w:rsidRPr="00417F40">
        <w:rPr>
          <w:rStyle w:val="FootnoteReference"/>
          <w:sz w:val="20"/>
          <w:szCs w:val="20"/>
        </w:rPr>
        <w:footnoteRef/>
      </w:r>
      <w:r w:rsidRPr="00417F40">
        <w:rPr>
          <w:sz w:val="20"/>
          <w:szCs w:val="20"/>
        </w:rPr>
        <w:t xml:space="preserve"> “</w:t>
      </w:r>
      <w:r w:rsidRPr="00417F40">
        <w:rPr>
          <w:bCs/>
          <w:sz w:val="20"/>
          <w:szCs w:val="20"/>
        </w:rPr>
        <w:t>REPORT ON SOCIO-ECONOMIC CONDITIONS OF SCHEDULED TRIBES</w:t>
      </w:r>
    </w:p>
    <w:p w14:paraId="244E2ED1" w14:textId="77777777" w:rsidR="00694C5E" w:rsidRPr="00417F40" w:rsidRDefault="00694C5E" w:rsidP="00122D3A">
      <w:pPr>
        <w:pStyle w:val="FootnoteText"/>
        <w:rPr>
          <w:sz w:val="20"/>
          <w:szCs w:val="20"/>
        </w:rPr>
      </w:pPr>
      <w:r w:rsidRPr="00417F40">
        <w:rPr>
          <w:bCs/>
          <w:sz w:val="20"/>
          <w:szCs w:val="20"/>
        </w:rPr>
        <w:t>LABOUR AT VAPI, VALSAD, NAVSARI AND SACHIN (GUJARAT) (2006-07)</w:t>
      </w:r>
      <w:r w:rsidRPr="00417F40">
        <w:rPr>
          <w:sz w:val="20"/>
          <w:szCs w:val="20"/>
        </w:rPr>
        <w:t xml:space="preserve">” </w:t>
      </w:r>
      <w:proofErr w:type="spellStart"/>
      <w:r w:rsidRPr="00417F40">
        <w:rPr>
          <w:sz w:val="20"/>
          <w:szCs w:val="20"/>
        </w:rPr>
        <w:t>Labour</w:t>
      </w:r>
      <w:proofErr w:type="spellEnd"/>
      <w:r w:rsidRPr="00417F40">
        <w:rPr>
          <w:sz w:val="20"/>
          <w:szCs w:val="20"/>
        </w:rPr>
        <w:t xml:space="preserve"> Bureau, Government of India, Chapter I: “A well-established criterion being followed is based on certain attributes such as:  </w:t>
      </w:r>
    </w:p>
    <w:p w14:paraId="6666D267" w14:textId="77777777" w:rsidR="00694C5E" w:rsidRPr="00417F40" w:rsidRDefault="00694C5E" w:rsidP="00122D3A">
      <w:pPr>
        <w:pStyle w:val="FootnoteText"/>
        <w:ind w:left="720"/>
        <w:rPr>
          <w:sz w:val="20"/>
          <w:szCs w:val="20"/>
        </w:rPr>
      </w:pPr>
      <w:r w:rsidRPr="00417F40">
        <w:rPr>
          <w:sz w:val="20"/>
          <w:szCs w:val="20"/>
        </w:rPr>
        <w:t xml:space="preserve">Geographical isolation - They live in cloister, exclusive remote and inhospitable areas like hills, forests, </w:t>
      </w:r>
    </w:p>
    <w:p w14:paraId="11A2A864" w14:textId="77777777" w:rsidR="00694C5E" w:rsidRPr="00417F40" w:rsidRDefault="00694C5E" w:rsidP="00122D3A">
      <w:pPr>
        <w:pStyle w:val="FootnoteText"/>
        <w:ind w:left="720"/>
        <w:rPr>
          <w:sz w:val="20"/>
          <w:szCs w:val="20"/>
        </w:rPr>
      </w:pPr>
      <w:r w:rsidRPr="00417F40">
        <w:rPr>
          <w:sz w:val="20"/>
          <w:szCs w:val="20"/>
        </w:rPr>
        <w:t>Backwardness - Livelihood based on primitive agriculture, low cost closed economy based on low level of technology which leads to their poverty. They have a low level of literacy and health.</w:t>
      </w:r>
    </w:p>
    <w:p w14:paraId="2822B82E" w14:textId="77777777" w:rsidR="00694C5E" w:rsidRPr="00417F40" w:rsidRDefault="00694C5E" w:rsidP="00122D3A">
      <w:pPr>
        <w:pStyle w:val="FootnoteText"/>
        <w:ind w:left="720"/>
        <w:rPr>
          <w:sz w:val="20"/>
          <w:szCs w:val="20"/>
        </w:rPr>
      </w:pPr>
      <w:r w:rsidRPr="00417F40">
        <w:rPr>
          <w:sz w:val="20"/>
          <w:szCs w:val="20"/>
        </w:rPr>
        <w:t>Distinctive culture, language and religion - They have developed community wise their own distinctive culture, language and religion.</w:t>
      </w:r>
    </w:p>
    <w:p w14:paraId="57008ADC" w14:textId="77777777" w:rsidR="00694C5E" w:rsidRPr="00417F40" w:rsidRDefault="00694C5E" w:rsidP="00122D3A">
      <w:pPr>
        <w:pStyle w:val="FootnoteText"/>
        <w:ind w:left="720"/>
        <w:rPr>
          <w:sz w:val="20"/>
          <w:szCs w:val="20"/>
        </w:rPr>
      </w:pPr>
      <w:r w:rsidRPr="00417F40">
        <w:rPr>
          <w:sz w:val="20"/>
          <w:szCs w:val="20"/>
        </w:rPr>
        <w:t xml:space="preserve">Shyness of contact – they have margin degree of contact with other cultures and people.” </w:t>
      </w:r>
    </w:p>
    <w:p w14:paraId="4ADC0512" w14:textId="77777777" w:rsidR="00694C5E" w:rsidRPr="00417F40" w:rsidRDefault="00694C5E" w:rsidP="00122D3A">
      <w:pPr>
        <w:pStyle w:val="FootnoteText"/>
        <w:rPr>
          <w:sz w:val="20"/>
          <w:szCs w:val="20"/>
        </w:rPr>
      </w:pPr>
      <w:r w:rsidRPr="00417F40">
        <w:rPr>
          <w:sz w:val="20"/>
          <w:szCs w:val="20"/>
        </w:rPr>
        <w:t xml:space="preserve">Available: </w:t>
      </w:r>
      <w:hyperlink r:id="rId24" w:history="1">
        <w:r w:rsidRPr="00417F40">
          <w:rPr>
            <w:rStyle w:val="Hyperlink"/>
            <w:sz w:val="20"/>
            <w:szCs w:val="20"/>
          </w:rPr>
          <w:t>http://labourbureau.nic.in/SE_Gujarat%2006-07_Contents.htm</w:t>
        </w:r>
      </w:hyperlink>
    </w:p>
  </w:footnote>
  <w:footnote w:id="59">
    <w:p w14:paraId="75BB53A2"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Ibid.</w:t>
      </w:r>
    </w:p>
  </w:footnote>
  <w:footnote w:id="60">
    <w:p w14:paraId="2E8474B9"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w:t>
      </w:r>
      <w:r w:rsidRPr="00417F40">
        <w:rPr>
          <w:bCs/>
          <w:sz w:val="20"/>
          <w:szCs w:val="20"/>
        </w:rPr>
        <w:t>Subsistence economy”</w:t>
      </w:r>
      <w:r w:rsidRPr="00417F40">
        <w:rPr>
          <w:sz w:val="20"/>
          <w:szCs w:val="20"/>
        </w:rPr>
        <w:t> typically refers to forms of non-monetary economic systems that rely on natural resources to provide for basic needs -- usually through hunting and gathering, pastoralism, and small scale agriculture.</w:t>
      </w:r>
    </w:p>
  </w:footnote>
  <w:footnote w:id="61">
    <w:p w14:paraId="2A7EB540"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Ibid. See also, </w:t>
      </w:r>
      <w:proofErr w:type="spellStart"/>
      <w:r w:rsidRPr="00417F40">
        <w:rPr>
          <w:sz w:val="20"/>
          <w:szCs w:val="20"/>
        </w:rPr>
        <w:t>Aparajita</w:t>
      </w:r>
      <w:proofErr w:type="spellEnd"/>
      <w:r w:rsidRPr="00417F40">
        <w:rPr>
          <w:sz w:val="20"/>
          <w:szCs w:val="20"/>
        </w:rPr>
        <w:t xml:space="preserve">, </w:t>
      </w:r>
      <w:proofErr w:type="spellStart"/>
      <w:r w:rsidRPr="00417F40">
        <w:rPr>
          <w:sz w:val="20"/>
          <w:szCs w:val="20"/>
        </w:rPr>
        <w:t>Upali</w:t>
      </w:r>
      <w:proofErr w:type="spellEnd"/>
      <w:r w:rsidRPr="00417F40">
        <w:rPr>
          <w:sz w:val="20"/>
          <w:szCs w:val="20"/>
        </w:rPr>
        <w:t xml:space="preserve">. </w:t>
      </w:r>
      <w:r w:rsidRPr="00417F40">
        <w:rPr>
          <w:i/>
          <w:sz w:val="20"/>
          <w:szCs w:val="20"/>
        </w:rPr>
        <w:t xml:space="preserve">Culture and development: </w:t>
      </w:r>
      <w:proofErr w:type="spellStart"/>
      <w:r w:rsidRPr="00417F40">
        <w:rPr>
          <w:i/>
          <w:sz w:val="20"/>
          <w:szCs w:val="20"/>
        </w:rPr>
        <w:t>Dongrias</w:t>
      </w:r>
      <w:proofErr w:type="spellEnd"/>
      <w:r w:rsidRPr="00417F40">
        <w:rPr>
          <w:i/>
          <w:sz w:val="20"/>
          <w:szCs w:val="20"/>
        </w:rPr>
        <w:t xml:space="preserve"> of </w:t>
      </w:r>
      <w:proofErr w:type="spellStart"/>
      <w:r w:rsidRPr="00417F40">
        <w:rPr>
          <w:i/>
          <w:sz w:val="20"/>
          <w:szCs w:val="20"/>
        </w:rPr>
        <w:t>Niyamgiri</w:t>
      </w:r>
      <w:proofErr w:type="spellEnd"/>
      <w:r w:rsidRPr="00417F40">
        <w:rPr>
          <w:i/>
          <w:sz w:val="20"/>
          <w:szCs w:val="20"/>
        </w:rPr>
        <w:t>.</w:t>
      </w:r>
      <w:r w:rsidRPr="00417F40">
        <w:rPr>
          <w:sz w:val="20"/>
          <w:szCs w:val="20"/>
        </w:rPr>
        <w:t> </w:t>
      </w:r>
      <w:proofErr w:type="gramStart"/>
      <w:r w:rsidRPr="00417F40">
        <w:rPr>
          <w:sz w:val="20"/>
          <w:szCs w:val="20"/>
        </w:rPr>
        <w:t>(New Delhi, India: Inter-India Publications, 1994).</w:t>
      </w:r>
      <w:proofErr w:type="gramEnd"/>
      <w:r w:rsidRPr="00417F40">
        <w:rPr>
          <w:sz w:val="20"/>
          <w:szCs w:val="20"/>
        </w:rPr>
        <w:t xml:space="preserve"> </w:t>
      </w:r>
    </w:p>
  </w:footnote>
  <w:footnote w:id="62">
    <w:p w14:paraId="59FC1C22"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w:t>
      </w:r>
      <w:proofErr w:type="spellStart"/>
      <w:r w:rsidRPr="00417F40">
        <w:rPr>
          <w:sz w:val="20"/>
          <w:szCs w:val="20"/>
        </w:rPr>
        <w:t>Bhadriraju</w:t>
      </w:r>
      <w:proofErr w:type="spellEnd"/>
      <w:r w:rsidRPr="00417F40">
        <w:rPr>
          <w:sz w:val="20"/>
          <w:szCs w:val="20"/>
        </w:rPr>
        <w:t xml:space="preserve"> </w:t>
      </w:r>
      <w:proofErr w:type="spellStart"/>
      <w:r w:rsidRPr="00417F40">
        <w:rPr>
          <w:sz w:val="20"/>
          <w:szCs w:val="20"/>
        </w:rPr>
        <w:t>Krishnamurti</w:t>
      </w:r>
      <w:proofErr w:type="spellEnd"/>
      <w:r w:rsidRPr="00417F40">
        <w:rPr>
          <w:sz w:val="20"/>
          <w:szCs w:val="20"/>
        </w:rPr>
        <w:t xml:space="preserve">, </w:t>
      </w:r>
      <w:r w:rsidRPr="00417F40">
        <w:rPr>
          <w:i/>
          <w:sz w:val="20"/>
          <w:szCs w:val="20"/>
        </w:rPr>
        <w:t>The Dravidian languages,</w:t>
      </w:r>
      <w:r w:rsidRPr="00417F40">
        <w:rPr>
          <w:sz w:val="20"/>
          <w:szCs w:val="20"/>
        </w:rPr>
        <w:t> (Cambridge: Cambridge University Press, 2003) at p. 56. </w:t>
      </w:r>
    </w:p>
  </w:footnote>
  <w:footnote w:id="63">
    <w:p w14:paraId="37D033EC"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Ibid., see also, </w:t>
      </w:r>
      <w:proofErr w:type="spellStart"/>
      <w:r w:rsidRPr="00417F40">
        <w:rPr>
          <w:sz w:val="20"/>
          <w:szCs w:val="20"/>
        </w:rPr>
        <w:t>Kui</w:t>
      </w:r>
      <w:proofErr w:type="spellEnd"/>
      <w:r w:rsidRPr="00417F40">
        <w:rPr>
          <w:sz w:val="20"/>
          <w:szCs w:val="20"/>
        </w:rPr>
        <w:t> reference at </w:t>
      </w:r>
      <w:proofErr w:type="spellStart"/>
      <w:r w:rsidRPr="00417F40">
        <w:rPr>
          <w:i/>
          <w:sz w:val="20"/>
          <w:szCs w:val="20"/>
        </w:rPr>
        <w:t>Ethnologue</w:t>
      </w:r>
      <w:proofErr w:type="spellEnd"/>
      <w:r w:rsidRPr="00417F40">
        <w:rPr>
          <w:sz w:val="20"/>
          <w:szCs w:val="20"/>
        </w:rPr>
        <w:t xml:space="preserve"> (17th ed., 2013), </w:t>
      </w:r>
      <w:hyperlink r:id="rId25" w:history="1">
        <w:r w:rsidRPr="00417F40">
          <w:rPr>
            <w:rStyle w:val="Hyperlink"/>
            <w:sz w:val="20"/>
            <w:szCs w:val="20"/>
          </w:rPr>
          <w:t>http://www.ethnologue.com/language/kxu</w:t>
        </w:r>
      </w:hyperlink>
    </w:p>
  </w:footnote>
  <w:footnote w:id="64">
    <w:p w14:paraId="4964A9F8" w14:textId="77777777" w:rsidR="00694C5E" w:rsidRPr="00417F40" w:rsidRDefault="00694C5E" w:rsidP="00122D3A">
      <w:pPr>
        <w:pStyle w:val="FootnoteText"/>
        <w:rPr>
          <w:bCs/>
          <w:sz w:val="20"/>
          <w:szCs w:val="20"/>
        </w:rPr>
      </w:pPr>
      <w:r w:rsidRPr="00417F40">
        <w:rPr>
          <w:rStyle w:val="FootnoteReference"/>
          <w:sz w:val="20"/>
          <w:szCs w:val="20"/>
        </w:rPr>
        <w:footnoteRef/>
      </w:r>
      <w:r w:rsidRPr="00417F40">
        <w:rPr>
          <w:sz w:val="20"/>
          <w:szCs w:val="20"/>
        </w:rPr>
        <w:t xml:space="preserve"> “</w:t>
      </w:r>
      <w:r w:rsidRPr="00417F40">
        <w:rPr>
          <w:bCs/>
          <w:sz w:val="20"/>
          <w:szCs w:val="20"/>
        </w:rPr>
        <w:t xml:space="preserve">India: </w:t>
      </w:r>
      <w:proofErr w:type="spellStart"/>
      <w:r w:rsidRPr="00417F40">
        <w:rPr>
          <w:bCs/>
          <w:sz w:val="20"/>
          <w:szCs w:val="20"/>
        </w:rPr>
        <w:t>Generalisations</w:t>
      </w:r>
      <w:proofErr w:type="spellEnd"/>
      <w:r w:rsidRPr="00417F40">
        <w:rPr>
          <w:bCs/>
          <w:sz w:val="20"/>
          <w:szCs w:val="20"/>
        </w:rPr>
        <w:t xml:space="preserve">, omissions, assumptions: The failings of Vedanta’s Environmental Impact Assessments for its bauxite mine and alumina refinery in India’s state of Orissa (Executive Summary),” </w:t>
      </w:r>
      <w:r w:rsidRPr="00417F40">
        <w:rPr>
          <w:bCs/>
          <w:i/>
          <w:sz w:val="20"/>
          <w:szCs w:val="20"/>
        </w:rPr>
        <w:t xml:space="preserve">Amnesty International, </w:t>
      </w:r>
      <w:r w:rsidRPr="00417F40">
        <w:rPr>
          <w:bCs/>
          <w:sz w:val="20"/>
          <w:szCs w:val="20"/>
        </w:rPr>
        <w:t xml:space="preserve">(London: Amnesty International UK, 2011) at page 8, available: </w:t>
      </w:r>
      <w:hyperlink r:id="rId26" w:history="1">
        <w:r w:rsidRPr="00417F40">
          <w:rPr>
            <w:rStyle w:val="Hyperlink"/>
            <w:bCs/>
            <w:sz w:val="20"/>
            <w:szCs w:val="20"/>
          </w:rPr>
          <w:t>http://www.amnesty.org/en/library/asset/ASA20/037/2011/en/6006600c-8be3-4495-917f-00584b3efc19/asa200372011en.pdf</w:t>
        </w:r>
      </w:hyperlink>
      <w:r w:rsidRPr="00417F40">
        <w:rPr>
          <w:bCs/>
          <w:sz w:val="20"/>
          <w:szCs w:val="20"/>
        </w:rPr>
        <w:t xml:space="preserve"> </w:t>
      </w:r>
    </w:p>
  </w:footnote>
  <w:footnote w:id="65">
    <w:p w14:paraId="35D962A4"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See “The </w:t>
      </w:r>
      <w:proofErr w:type="spellStart"/>
      <w:r w:rsidRPr="00417F40">
        <w:rPr>
          <w:sz w:val="20"/>
          <w:szCs w:val="20"/>
        </w:rPr>
        <w:t>Dongria</w:t>
      </w:r>
      <w:proofErr w:type="spellEnd"/>
      <w:r w:rsidRPr="00417F40">
        <w:rPr>
          <w:sz w:val="20"/>
          <w:szCs w:val="20"/>
        </w:rPr>
        <w:t xml:space="preserve"> </w:t>
      </w:r>
      <w:proofErr w:type="spellStart"/>
      <w:r w:rsidRPr="00417F40">
        <w:rPr>
          <w:sz w:val="20"/>
          <w:szCs w:val="20"/>
        </w:rPr>
        <w:t>Kondh</w:t>
      </w:r>
      <w:proofErr w:type="spellEnd"/>
      <w:r w:rsidRPr="00417F40">
        <w:rPr>
          <w:sz w:val="20"/>
          <w:szCs w:val="20"/>
        </w:rPr>
        <w:t xml:space="preserve">”, </w:t>
      </w:r>
      <w:r w:rsidRPr="00417F40">
        <w:rPr>
          <w:i/>
          <w:sz w:val="20"/>
          <w:szCs w:val="20"/>
        </w:rPr>
        <w:t xml:space="preserve">Survival International </w:t>
      </w:r>
      <w:r w:rsidRPr="00417F40">
        <w:rPr>
          <w:sz w:val="20"/>
          <w:szCs w:val="20"/>
        </w:rPr>
        <w:t xml:space="preserve"> </w:t>
      </w:r>
      <w:hyperlink r:id="rId27" w:history="1">
        <w:r w:rsidRPr="00417F40">
          <w:rPr>
            <w:rStyle w:val="Hyperlink"/>
            <w:sz w:val="20"/>
            <w:szCs w:val="20"/>
          </w:rPr>
          <w:t>http://www.survivalinternational.org/tribes/dongria</w:t>
        </w:r>
      </w:hyperlink>
      <w:r w:rsidRPr="00417F40">
        <w:rPr>
          <w:sz w:val="20"/>
          <w:szCs w:val="20"/>
        </w:rPr>
        <w:t xml:space="preserve"> </w:t>
      </w:r>
    </w:p>
  </w:footnote>
  <w:footnote w:id="66">
    <w:p w14:paraId="6FA9F55B" w14:textId="77777777" w:rsidR="00694C5E" w:rsidRPr="00417F40" w:rsidRDefault="00694C5E" w:rsidP="00122D3A">
      <w:pPr>
        <w:pStyle w:val="FootnoteText"/>
        <w:rPr>
          <w:b/>
          <w:bCs/>
          <w:sz w:val="20"/>
          <w:szCs w:val="20"/>
        </w:rPr>
      </w:pPr>
      <w:r w:rsidRPr="00417F40">
        <w:rPr>
          <w:rStyle w:val="FootnoteReference"/>
          <w:sz w:val="20"/>
          <w:szCs w:val="20"/>
        </w:rPr>
        <w:footnoteRef/>
      </w:r>
      <w:r w:rsidRPr="00417F40">
        <w:rPr>
          <w:sz w:val="20"/>
          <w:szCs w:val="20"/>
        </w:rPr>
        <w:t xml:space="preserve"> Damian </w:t>
      </w:r>
      <w:proofErr w:type="spellStart"/>
      <w:r w:rsidRPr="00417F40">
        <w:rPr>
          <w:sz w:val="20"/>
          <w:szCs w:val="20"/>
        </w:rPr>
        <w:t>Grammaticas</w:t>
      </w:r>
      <w:proofErr w:type="spellEnd"/>
      <w:r w:rsidRPr="00417F40">
        <w:rPr>
          <w:sz w:val="20"/>
          <w:szCs w:val="20"/>
        </w:rPr>
        <w:t>, “</w:t>
      </w:r>
      <w:r w:rsidRPr="00417F40">
        <w:rPr>
          <w:bCs/>
          <w:sz w:val="20"/>
          <w:szCs w:val="20"/>
        </w:rPr>
        <w:t xml:space="preserve">Tribe takes on global mining firm,” </w:t>
      </w:r>
      <w:r w:rsidRPr="00417F40">
        <w:rPr>
          <w:bCs/>
          <w:i/>
          <w:sz w:val="20"/>
          <w:szCs w:val="20"/>
        </w:rPr>
        <w:t xml:space="preserve">BBC News, </w:t>
      </w:r>
      <w:r w:rsidRPr="00417F40">
        <w:rPr>
          <w:bCs/>
          <w:sz w:val="20"/>
          <w:szCs w:val="20"/>
        </w:rPr>
        <w:t xml:space="preserve">last updated 17 July 2008: </w:t>
      </w:r>
      <w:hyperlink r:id="rId28" w:history="1">
        <w:r w:rsidRPr="00417F40">
          <w:rPr>
            <w:rStyle w:val="Hyperlink"/>
            <w:bCs/>
            <w:sz w:val="20"/>
            <w:szCs w:val="20"/>
          </w:rPr>
          <w:t>http://news.bbc.co.uk/2/hi/south_asia/7486252.stm</w:t>
        </w:r>
      </w:hyperlink>
    </w:p>
  </w:footnote>
  <w:footnote w:id="67">
    <w:p w14:paraId="6636A4B5"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The Central Empowered Committee (CEC) 2005: </w:t>
      </w:r>
      <w:r w:rsidRPr="00417F40">
        <w:rPr>
          <w:i/>
          <w:sz w:val="20"/>
          <w:szCs w:val="20"/>
        </w:rPr>
        <w:t xml:space="preserve">Report in IA no. 1324 regarding the alumina refinery plant being set up by m/s Vedanta Alumina Limited at </w:t>
      </w:r>
      <w:proofErr w:type="spellStart"/>
      <w:r w:rsidRPr="00417F40">
        <w:rPr>
          <w:i/>
          <w:sz w:val="20"/>
          <w:szCs w:val="20"/>
        </w:rPr>
        <w:t>Lanjigarh</w:t>
      </w:r>
      <w:proofErr w:type="spellEnd"/>
      <w:r w:rsidRPr="00417F40">
        <w:rPr>
          <w:i/>
          <w:sz w:val="20"/>
          <w:szCs w:val="20"/>
        </w:rPr>
        <w:t xml:space="preserve"> in </w:t>
      </w:r>
      <w:proofErr w:type="spellStart"/>
      <w:r w:rsidRPr="00417F40">
        <w:rPr>
          <w:i/>
          <w:sz w:val="20"/>
          <w:szCs w:val="20"/>
        </w:rPr>
        <w:t>Kalahandi</w:t>
      </w:r>
      <w:proofErr w:type="spellEnd"/>
      <w:r w:rsidRPr="00417F40">
        <w:rPr>
          <w:i/>
          <w:sz w:val="20"/>
          <w:szCs w:val="20"/>
        </w:rPr>
        <w:t xml:space="preserve"> district, Orissa</w:t>
      </w:r>
      <w:r w:rsidRPr="00417F40">
        <w:rPr>
          <w:sz w:val="20"/>
          <w:szCs w:val="20"/>
        </w:rPr>
        <w:t xml:space="preserve">, 21.09.05. Available at </w:t>
      </w:r>
      <w:hyperlink r:id="rId29" w:history="1">
        <w:r w:rsidRPr="00417F40">
          <w:rPr>
            <w:rStyle w:val="Hyperlink"/>
            <w:sz w:val="20"/>
            <w:szCs w:val="20"/>
          </w:rPr>
          <w:t>http://www.indiaresource.org/issues/globalization/2005/CECSep2005cancellicense.html</w:t>
        </w:r>
      </w:hyperlink>
    </w:p>
  </w:footnote>
  <w:footnote w:id="68">
    <w:p w14:paraId="5959AF4F"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Ibid</w:t>
      </w:r>
      <w:proofErr w:type="gramStart"/>
      <w:r w:rsidRPr="00417F40">
        <w:rPr>
          <w:sz w:val="20"/>
          <w:szCs w:val="20"/>
        </w:rPr>
        <w:t>.,</w:t>
      </w:r>
      <w:proofErr w:type="gramEnd"/>
      <w:r w:rsidRPr="00417F40">
        <w:rPr>
          <w:sz w:val="20"/>
          <w:szCs w:val="20"/>
        </w:rPr>
        <w:t xml:space="preserve"> see also, supra note 14.</w:t>
      </w:r>
    </w:p>
  </w:footnote>
  <w:footnote w:id="69">
    <w:p w14:paraId="60A757B1"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Quote from </w:t>
      </w:r>
      <w:proofErr w:type="spellStart"/>
      <w:r w:rsidRPr="00417F40">
        <w:rPr>
          <w:sz w:val="20"/>
          <w:szCs w:val="20"/>
        </w:rPr>
        <w:t>Jitu</w:t>
      </w:r>
      <w:proofErr w:type="spellEnd"/>
      <w:r w:rsidRPr="00417F40">
        <w:rPr>
          <w:sz w:val="20"/>
          <w:szCs w:val="20"/>
        </w:rPr>
        <w:t xml:space="preserve"> </w:t>
      </w:r>
      <w:proofErr w:type="spellStart"/>
      <w:r w:rsidRPr="00417F40">
        <w:rPr>
          <w:sz w:val="20"/>
          <w:szCs w:val="20"/>
        </w:rPr>
        <w:t>Jakeskia</w:t>
      </w:r>
      <w:proofErr w:type="spellEnd"/>
      <w:r w:rsidRPr="00417F40">
        <w:rPr>
          <w:sz w:val="20"/>
          <w:szCs w:val="20"/>
        </w:rPr>
        <w:t xml:space="preserve">, a young </w:t>
      </w:r>
      <w:proofErr w:type="spellStart"/>
      <w:r w:rsidRPr="00417F40">
        <w:rPr>
          <w:sz w:val="20"/>
          <w:szCs w:val="20"/>
        </w:rPr>
        <w:t>Dongria</w:t>
      </w:r>
      <w:proofErr w:type="spellEnd"/>
      <w:r w:rsidRPr="00417F40">
        <w:rPr>
          <w:sz w:val="20"/>
          <w:szCs w:val="20"/>
        </w:rPr>
        <w:t xml:space="preserve"> </w:t>
      </w:r>
      <w:proofErr w:type="spellStart"/>
      <w:r w:rsidRPr="00417F40">
        <w:rPr>
          <w:sz w:val="20"/>
          <w:szCs w:val="20"/>
        </w:rPr>
        <w:t>Kondh</w:t>
      </w:r>
      <w:proofErr w:type="spellEnd"/>
      <w:r w:rsidRPr="00417F40">
        <w:rPr>
          <w:sz w:val="20"/>
          <w:szCs w:val="20"/>
        </w:rPr>
        <w:t xml:space="preserve"> activist during a BBC interview. See Damian </w:t>
      </w:r>
      <w:proofErr w:type="spellStart"/>
      <w:r w:rsidRPr="00417F40">
        <w:rPr>
          <w:sz w:val="20"/>
          <w:szCs w:val="20"/>
        </w:rPr>
        <w:t>Grammaticas</w:t>
      </w:r>
      <w:proofErr w:type="spellEnd"/>
      <w:r w:rsidRPr="00417F40">
        <w:rPr>
          <w:sz w:val="20"/>
          <w:szCs w:val="20"/>
        </w:rPr>
        <w:t>, “</w:t>
      </w:r>
      <w:r w:rsidRPr="00417F40">
        <w:rPr>
          <w:bCs/>
          <w:sz w:val="20"/>
          <w:szCs w:val="20"/>
        </w:rPr>
        <w:t xml:space="preserve">Tribe takes on global mining firm,” </w:t>
      </w:r>
      <w:r w:rsidRPr="00417F40">
        <w:rPr>
          <w:bCs/>
          <w:i/>
          <w:sz w:val="20"/>
          <w:szCs w:val="20"/>
        </w:rPr>
        <w:t xml:space="preserve">BBC News, </w:t>
      </w:r>
      <w:r w:rsidRPr="00417F40">
        <w:rPr>
          <w:bCs/>
          <w:sz w:val="20"/>
          <w:szCs w:val="20"/>
        </w:rPr>
        <w:t xml:space="preserve">last updated 17 July 2008: </w:t>
      </w:r>
      <w:hyperlink r:id="rId30" w:history="1">
        <w:r w:rsidRPr="00417F40">
          <w:rPr>
            <w:rStyle w:val="Hyperlink"/>
            <w:bCs/>
            <w:sz w:val="20"/>
            <w:szCs w:val="20"/>
          </w:rPr>
          <w:t>http://news.bbc.co.uk/2/hi/south_asia/7486252.stm</w:t>
        </w:r>
      </w:hyperlink>
      <w:r w:rsidRPr="00417F40">
        <w:rPr>
          <w:sz w:val="20"/>
          <w:szCs w:val="20"/>
        </w:rPr>
        <w:t xml:space="preserve"> See also, supra note 14.</w:t>
      </w:r>
    </w:p>
  </w:footnote>
  <w:footnote w:id="70">
    <w:p w14:paraId="0EDC1405"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See The Central Empowered Committee, supra note 16, available at </w:t>
      </w:r>
      <w:hyperlink r:id="rId31" w:history="1">
        <w:r w:rsidRPr="00417F40">
          <w:rPr>
            <w:rStyle w:val="Hyperlink"/>
            <w:sz w:val="20"/>
            <w:szCs w:val="20"/>
          </w:rPr>
          <w:t>http://www.indiaresource.org/issues/globalization/2005/CECSep2005cancellicense.html</w:t>
        </w:r>
      </w:hyperlink>
      <w:r w:rsidRPr="00417F40">
        <w:rPr>
          <w:sz w:val="20"/>
          <w:szCs w:val="20"/>
          <w:u w:val="single"/>
        </w:rPr>
        <w:t xml:space="preserve">  </w:t>
      </w:r>
      <w:r w:rsidRPr="00417F40">
        <w:rPr>
          <w:sz w:val="20"/>
          <w:szCs w:val="20"/>
        </w:rPr>
        <w:t xml:space="preserve"> </w:t>
      </w:r>
    </w:p>
  </w:footnote>
  <w:footnote w:id="71">
    <w:p w14:paraId="2BF8BAD1"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Ibid.</w:t>
      </w:r>
    </w:p>
  </w:footnote>
  <w:footnote w:id="72">
    <w:p w14:paraId="0023A3D8"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Quote from a </w:t>
      </w:r>
      <w:proofErr w:type="spellStart"/>
      <w:r w:rsidRPr="00417F40">
        <w:rPr>
          <w:sz w:val="20"/>
          <w:szCs w:val="20"/>
        </w:rPr>
        <w:t>Dongria</w:t>
      </w:r>
      <w:proofErr w:type="spellEnd"/>
      <w:r w:rsidRPr="00417F40">
        <w:rPr>
          <w:sz w:val="20"/>
          <w:szCs w:val="20"/>
        </w:rPr>
        <w:t xml:space="preserve"> villager during a video interview by Survival International, see: </w:t>
      </w:r>
      <w:hyperlink r:id="rId32" w:history="1">
        <w:r w:rsidRPr="00417F40">
          <w:rPr>
            <w:rStyle w:val="Hyperlink"/>
            <w:sz w:val="20"/>
            <w:szCs w:val="20"/>
          </w:rPr>
          <w:t>http://www.survivalinternational.org/films/handfulsoil</w:t>
        </w:r>
      </w:hyperlink>
      <w:r w:rsidRPr="00417F40">
        <w:rPr>
          <w:sz w:val="20"/>
          <w:szCs w:val="20"/>
        </w:rPr>
        <w:t xml:space="preserve"> at 1:20.</w:t>
      </w:r>
    </w:p>
  </w:footnote>
  <w:footnote w:id="73">
    <w:p w14:paraId="7251469E"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See </w:t>
      </w:r>
      <w:hyperlink r:id="rId33" w:history="1">
        <w:r w:rsidRPr="00417F40">
          <w:rPr>
            <w:rStyle w:val="Hyperlink"/>
            <w:sz w:val="20"/>
            <w:szCs w:val="20"/>
          </w:rPr>
          <w:t>http://www.vedantaresources.com/who-we-are.aspx</w:t>
        </w:r>
      </w:hyperlink>
      <w:r w:rsidRPr="00417F40">
        <w:rPr>
          <w:sz w:val="20"/>
          <w:szCs w:val="20"/>
        </w:rPr>
        <w:t xml:space="preserve"> </w:t>
      </w:r>
    </w:p>
  </w:footnote>
  <w:footnote w:id="74">
    <w:p w14:paraId="330F2199"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See Vedanta Annual Report 2007, available: </w:t>
      </w:r>
    </w:p>
    <w:p w14:paraId="6688B8BB" w14:textId="77777777" w:rsidR="00694C5E" w:rsidRPr="00417F40" w:rsidRDefault="00D4598E" w:rsidP="00122D3A">
      <w:pPr>
        <w:pStyle w:val="FootnoteText"/>
        <w:rPr>
          <w:sz w:val="20"/>
          <w:szCs w:val="20"/>
        </w:rPr>
      </w:pPr>
      <w:hyperlink r:id="rId34" w:history="1">
        <w:r w:rsidR="00694C5E" w:rsidRPr="00417F40">
          <w:rPr>
            <w:rStyle w:val="Hyperlink"/>
            <w:sz w:val="20"/>
            <w:szCs w:val="20"/>
          </w:rPr>
          <w:t>http://www.vedantaresources.com/uploads/VedantaRA07.pdf</w:t>
        </w:r>
      </w:hyperlink>
      <w:r w:rsidR="00694C5E" w:rsidRPr="00417F40">
        <w:rPr>
          <w:sz w:val="20"/>
          <w:szCs w:val="20"/>
        </w:rPr>
        <w:t xml:space="preserve"> </w:t>
      </w:r>
    </w:p>
  </w:footnote>
  <w:footnote w:id="75">
    <w:p w14:paraId="2623C915"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Simon Bowers, “Vedanta stripped of safety awards in light of Indian site disaster,” </w:t>
      </w:r>
      <w:r w:rsidRPr="00417F40">
        <w:rPr>
          <w:i/>
          <w:sz w:val="20"/>
          <w:szCs w:val="20"/>
        </w:rPr>
        <w:t xml:space="preserve">The Guardian, </w:t>
      </w:r>
      <w:r w:rsidRPr="00417F40">
        <w:rPr>
          <w:sz w:val="20"/>
          <w:szCs w:val="20"/>
        </w:rPr>
        <w:t xml:space="preserve">posted 28 August 2010: </w:t>
      </w:r>
    </w:p>
    <w:p w14:paraId="45E5FABA" w14:textId="77777777" w:rsidR="00694C5E" w:rsidRPr="00417F40" w:rsidRDefault="00694C5E" w:rsidP="00122D3A">
      <w:pPr>
        <w:pStyle w:val="FootnoteText"/>
        <w:ind w:left="720"/>
        <w:rPr>
          <w:sz w:val="20"/>
          <w:szCs w:val="20"/>
        </w:rPr>
      </w:pPr>
      <w:r w:rsidRPr="00417F40">
        <w:rPr>
          <w:sz w:val="20"/>
          <w:szCs w:val="20"/>
        </w:rPr>
        <w:t>“…in response to findings thrown up by a broader Observer analysis of deaths of workers at all FTSE 100 mining groups. The analysis found that 154 work-related deaths have been disclosed by London's largest multinational miners in their latest annual reports and other shareholder filings. … …</w:t>
      </w:r>
      <w:r w:rsidRPr="00417F40">
        <w:rPr>
          <w:rFonts w:ascii="Arial" w:hAnsi="Arial" w:cs="Arial"/>
          <w:color w:val="333333"/>
          <w:sz w:val="20"/>
          <w:szCs w:val="20"/>
          <w:shd w:val="clear" w:color="auto" w:fill="FFFFFF"/>
        </w:rPr>
        <w:t xml:space="preserve"> </w:t>
      </w:r>
      <w:r w:rsidRPr="00417F40">
        <w:rPr>
          <w:sz w:val="20"/>
          <w:szCs w:val="20"/>
        </w:rPr>
        <w:t xml:space="preserve">All 12 London-listed firms have "zero fatality" targets, but only Mexico's </w:t>
      </w:r>
      <w:proofErr w:type="spellStart"/>
      <w:r w:rsidRPr="00417F40">
        <w:rPr>
          <w:sz w:val="20"/>
          <w:szCs w:val="20"/>
        </w:rPr>
        <w:t>Fresnillo</w:t>
      </w:r>
      <w:proofErr w:type="spellEnd"/>
      <w:r w:rsidRPr="00417F40">
        <w:rPr>
          <w:sz w:val="20"/>
          <w:szCs w:val="20"/>
        </w:rPr>
        <w:t xml:space="preserve"> achieved this last year. Vedanta had the highest death toll, with 67…” </w:t>
      </w:r>
    </w:p>
    <w:p w14:paraId="22D09214" w14:textId="77777777" w:rsidR="00694C5E" w:rsidRPr="00417F40" w:rsidRDefault="00694C5E" w:rsidP="00122D3A">
      <w:pPr>
        <w:pStyle w:val="FootnoteText"/>
        <w:rPr>
          <w:sz w:val="20"/>
          <w:szCs w:val="20"/>
        </w:rPr>
      </w:pPr>
      <w:r w:rsidRPr="00417F40">
        <w:rPr>
          <w:sz w:val="20"/>
          <w:szCs w:val="20"/>
        </w:rPr>
        <w:t xml:space="preserve">Available: </w:t>
      </w:r>
      <w:hyperlink r:id="rId35" w:history="1">
        <w:r w:rsidRPr="00417F40">
          <w:rPr>
            <w:rStyle w:val="Hyperlink"/>
            <w:sz w:val="20"/>
            <w:szCs w:val="20"/>
          </w:rPr>
          <w:t>http://www.theguardian.com/business/2010/aug/29/vedanta-safety-awards-stripped</w:t>
        </w:r>
      </w:hyperlink>
    </w:p>
  </w:footnote>
  <w:footnote w:id="76">
    <w:p w14:paraId="3680E14F"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Ibid.</w:t>
      </w:r>
    </w:p>
  </w:footnote>
  <w:footnote w:id="77">
    <w:p w14:paraId="09505797"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See “</w:t>
      </w:r>
      <w:r w:rsidRPr="00417F40">
        <w:rPr>
          <w:bCs/>
          <w:sz w:val="20"/>
          <w:szCs w:val="20"/>
        </w:rPr>
        <w:t>Recommendation of 15 May 2007, To the Ministry of Finance,”</w:t>
      </w:r>
      <w:r w:rsidRPr="00417F40">
        <w:rPr>
          <w:b/>
          <w:bCs/>
          <w:sz w:val="20"/>
          <w:szCs w:val="20"/>
        </w:rPr>
        <w:t xml:space="preserve"> </w:t>
      </w:r>
      <w:r w:rsidRPr="00417F40">
        <w:rPr>
          <w:bCs/>
          <w:sz w:val="20"/>
          <w:szCs w:val="20"/>
        </w:rPr>
        <w:t>by the Council on Ethics,</w:t>
      </w:r>
      <w:r w:rsidRPr="00417F40">
        <w:rPr>
          <w:b/>
          <w:bCs/>
          <w:sz w:val="20"/>
          <w:szCs w:val="20"/>
        </w:rPr>
        <w:t xml:space="preserve"> </w:t>
      </w:r>
      <w:r w:rsidRPr="00417F40">
        <w:rPr>
          <w:bCs/>
          <w:sz w:val="20"/>
          <w:szCs w:val="20"/>
        </w:rPr>
        <w:t xml:space="preserve">The Government Pension Fund of Norway, available: </w:t>
      </w:r>
      <w:hyperlink r:id="rId36" w:history="1">
        <w:r w:rsidRPr="00417F40">
          <w:rPr>
            <w:rStyle w:val="Hyperlink"/>
            <w:bCs/>
            <w:sz w:val="20"/>
            <w:szCs w:val="20"/>
          </w:rPr>
          <w:t>http://www.regjeringen.no/Upload/FIN/Statens%20pensjonsfond/RecommendationVedanta.pdf</w:t>
        </w:r>
      </w:hyperlink>
    </w:p>
  </w:footnote>
  <w:footnote w:id="78">
    <w:p w14:paraId="6A3CDEB2"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See report by Amnesty International, supra note 13.</w:t>
      </w:r>
    </w:p>
  </w:footnote>
  <w:footnote w:id="79">
    <w:p w14:paraId="3C383E43"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The Central Empowered Committee (CEC) 2005: </w:t>
      </w:r>
      <w:r w:rsidRPr="00417F40">
        <w:rPr>
          <w:i/>
          <w:sz w:val="20"/>
          <w:szCs w:val="20"/>
        </w:rPr>
        <w:t xml:space="preserve">Report in IA no. 1324 regarding the alumina refinery plant being set up by m/s Vedanta Alumina Limited at </w:t>
      </w:r>
      <w:proofErr w:type="spellStart"/>
      <w:r w:rsidRPr="00417F40">
        <w:rPr>
          <w:i/>
          <w:sz w:val="20"/>
          <w:szCs w:val="20"/>
        </w:rPr>
        <w:t>Lanjigarh</w:t>
      </w:r>
      <w:proofErr w:type="spellEnd"/>
      <w:r w:rsidRPr="00417F40">
        <w:rPr>
          <w:i/>
          <w:sz w:val="20"/>
          <w:szCs w:val="20"/>
        </w:rPr>
        <w:t xml:space="preserve"> in </w:t>
      </w:r>
      <w:proofErr w:type="spellStart"/>
      <w:r w:rsidRPr="00417F40">
        <w:rPr>
          <w:i/>
          <w:sz w:val="20"/>
          <w:szCs w:val="20"/>
        </w:rPr>
        <w:t>Kalahandi</w:t>
      </w:r>
      <w:proofErr w:type="spellEnd"/>
      <w:r w:rsidRPr="00417F40">
        <w:rPr>
          <w:i/>
          <w:sz w:val="20"/>
          <w:szCs w:val="20"/>
        </w:rPr>
        <w:t xml:space="preserve"> district, Orissa</w:t>
      </w:r>
      <w:r w:rsidRPr="00417F40">
        <w:rPr>
          <w:sz w:val="20"/>
          <w:szCs w:val="20"/>
        </w:rPr>
        <w:t xml:space="preserve">, 21.09.05, p.7 and p. 50. Available at </w:t>
      </w:r>
      <w:hyperlink r:id="rId37" w:history="1">
        <w:r w:rsidRPr="00417F40">
          <w:rPr>
            <w:rStyle w:val="Hyperlink"/>
            <w:sz w:val="20"/>
            <w:szCs w:val="20"/>
          </w:rPr>
          <w:t>http://www.indiaresource.org/issues/globalization/2005/CECSep2005cancellicense.html</w:t>
        </w:r>
      </w:hyperlink>
      <w:r w:rsidRPr="00417F40">
        <w:rPr>
          <w:sz w:val="20"/>
          <w:szCs w:val="20"/>
          <w:u w:val="single"/>
        </w:rPr>
        <w:t xml:space="preserve">  </w:t>
      </w:r>
      <w:r w:rsidRPr="00417F40">
        <w:rPr>
          <w:sz w:val="20"/>
          <w:szCs w:val="20"/>
        </w:rPr>
        <w:t xml:space="preserve"> </w:t>
      </w:r>
    </w:p>
  </w:footnote>
  <w:footnote w:id="80">
    <w:p w14:paraId="54B963E2"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See </w:t>
      </w:r>
      <w:hyperlink r:id="rId38" w:history="1">
        <w:r w:rsidRPr="00417F40">
          <w:rPr>
            <w:rStyle w:val="Hyperlink"/>
            <w:sz w:val="20"/>
            <w:szCs w:val="20"/>
          </w:rPr>
          <w:t>http://www.pucl.org/history.htm</w:t>
        </w:r>
      </w:hyperlink>
    </w:p>
  </w:footnote>
  <w:footnote w:id="81">
    <w:p w14:paraId="6739C33E"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See CEC Report, supra note 28, at section 32: </w:t>
      </w:r>
    </w:p>
    <w:p w14:paraId="2E04222D" w14:textId="77777777" w:rsidR="00694C5E" w:rsidRPr="00417F40" w:rsidRDefault="00694C5E" w:rsidP="00122D3A">
      <w:pPr>
        <w:pStyle w:val="FootnoteText"/>
        <w:ind w:left="720"/>
        <w:rPr>
          <w:sz w:val="20"/>
          <w:szCs w:val="20"/>
        </w:rPr>
      </w:pPr>
      <w:r w:rsidRPr="00417F40">
        <w:rPr>
          <w:sz w:val="20"/>
          <w:szCs w:val="20"/>
        </w:rPr>
        <w:t xml:space="preserve">“The CEC is of the considered view that the use of the forest land in an ecologically sensitive area like the </w:t>
      </w:r>
      <w:proofErr w:type="spellStart"/>
      <w:r w:rsidRPr="00417F40">
        <w:rPr>
          <w:sz w:val="20"/>
          <w:szCs w:val="20"/>
        </w:rPr>
        <w:t>Niyamgiri</w:t>
      </w:r>
      <w:proofErr w:type="spellEnd"/>
      <w:r w:rsidRPr="00417F40">
        <w:rPr>
          <w:sz w:val="20"/>
          <w:szCs w:val="20"/>
        </w:rPr>
        <w:t xml:space="preserve"> Hills should not be permitted.  The casual approach, the lackadaisical manner and the haste with which the entire issue of forests and environmental clearance for the alumina refinery project has been dealt with smacks of undue </w:t>
      </w:r>
      <w:proofErr w:type="spellStart"/>
      <w:r w:rsidRPr="00417F40">
        <w:rPr>
          <w:sz w:val="20"/>
          <w:szCs w:val="20"/>
        </w:rPr>
        <w:t>favour</w:t>
      </w:r>
      <w:proofErr w:type="spellEnd"/>
      <w:r w:rsidRPr="00417F40">
        <w:rPr>
          <w:sz w:val="20"/>
          <w:szCs w:val="20"/>
        </w:rPr>
        <w:t xml:space="preserve">/leniency and does not inspire confidence with regard to the willingness and resolve of both the State Government and the </w:t>
      </w:r>
      <w:proofErr w:type="spellStart"/>
      <w:r w:rsidRPr="00417F40">
        <w:rPr>
          <w:sz w:val="20"/>
          <w:szCs w:val="20"/>
        </w:rPr>
        <w:t>MoEF</w:t>
      </w:r>
      <w:proofErr w:type="spellEnd"/>
      <w:r w:rsidRPr="00417F40">
        <w:rPr>
          <w:sz w:val="20"/>
          <w:szCs w:val="20"/>
        </w:rPr>
        <w:t xml:space="preserve"> to deal with such matters keeping in view the ultimate goal of national and public interest.”</w:t>
      </w:r>
    </w:p>
  </w:footnote>
  <w:footnote w:id="82">
    <w:p w14:paraId="6F9FED77" w14:textId="77777777" w:rsidR="00694C5E" w:rsidRPr="00417F40" w:rsidRDefault="00694C5E" w:rsidP="00122D3A">
      <w:pPr>
        <w:pStyle w:val="FootnoteText"/>
        <w:rPr>
          <w:b/>
          <w:bCs/>
          <w:sz w:val="20"/>
          <w:szCs w:val="20"/>
        </w:rPr>
      </w:pPr>
      <w:r w:rsidRPr="00417F40">
        <w:rPr>
          <w:rStyle w:val="FootnoteReference"/>
          <w:sz w:val="20"/>
          <w:szCs w:val="20"/>
        </w:rPr>
        <w:footnoteRef/>
      </w:r>
      <w:r w:rsidRPr="00417F40">
        <w:rPr>
          <w:sz w:val="20"/>
          <w:szCs w:val="20"/>
        </w:rPr>
        <w:t xml:space="preserve"> Ibid., at section 3, under “</w:t>
      </w:r>
      <w:r w:rsidRPr="00417F40">
        <w:rPr>
          <w:bCs/>
          <w:sz w:val="20"/>
          <w:szCs w:val="20"/>
        </w:rPr>
        <w:t>Forcible eviction and rehabilitation package”</w:t>
      </w:r>
    </w:p>
  </w:footnote>
  <w:footnote w:id="83">
    <w:p w14:paraId="6565D541"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Ibid</w:t>
      </w:r>
      <w:proofErr w:type="gramStart"/>
      <w:r w:rsidRPr="00417F40">
        <w:rPr>
          <w:sz w:val="20"/>
          <w:szCs w:val="20"/>
        </w:rPr>
        <w:t>.,</w:t>
      </w:r>
      <w:proofErr w:type="gramEnd"/>
      <w:r w:rsidRPr="00417F40">
        <w:rPr>
          <w:sz w:val="20"/>
          <w:szCs w:val="20"/>
        </w:rPr>
        <w:t xml:space="preserve"> at section 3, xvi.</w:t>
      </w:r>
    </w:p>
  </w:footnote>
  <w:footnote w:id="84">
    <w:p w14:paraId="0EB31587"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Ibid.</w:t>
      </w:r>
    </w:p>
  </w:footnote>
  <w:footnote w:id="85">
    <w:p w14:paraId="074D99A3"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The Central Empowered Committee (CEC) 2005: Report in IA no. 1324 regarding the alumina refinery </w:t>
      </w:r>
    </w:p>
    <w:p w14:paraId="470BC187" w14:textId="77777777" w:rsidR="00694C5E" w:rsidRPr="00417F40" w:rsidRDefault="00694C5E" w:rsidP="00122D3A">
      <w:pPr>
        <w:pStyle w:val="FootnoteText"/>
        <w:rPr>
          <w:sz w:val="20"/>
          <w:szCs w:val="20"/>
        </w:rPr>
      </w:pPr>
      <w:proofErr w:type="gramStart"/>
      <w:r w:rsidRPr="00417F40">
        <w:rPr>
          <w:sz w:val="20"/>
          <w:szCs w:val="20"/>
        </w:rPr>
        <w:t>plant</w:t>
      </w:r>
      <w:proofErr w:type="gramEnd"/>
      <w:r w:rsidRPr="00417F40">
        <w:rPr>
          <w:sz w:val="20"/>
          <w:szCs w:val="20"/>
        </w:rPr>
        <w:t xml:space="preserve"> being set up by m/s Vedanta Alumina Limited at </w:t>
      </w:r>
      <w:proofErr w:type="spellStart"/>
      <w:r w:rsidRPr="00417F40">
        <w:rPr>
          <w:sz w:val="20"/>
          <w:szCs w:val="20"/>
        </w:rPr>
        <w:t>Lanjigarh</w:t>
      </w:r>
      <w:proofErr w:type="spellEnd"/>
      <w:r w:rsidRPr="00417F40">
        <w:rPr>
          <w:sz w:val="20"/>
          <w:szCs w:val="20"/>
        </w:rPr>
        <w:t xml:space="preserve"> in </w:t>
      </w:r>
      <w:proofErr w:type="spellStart"/>
      <w:r w:rsidRPr="00417F40">
        <w:rPr>
          <w:sz w:val="20"/>
          <w:szCs w:val="20"/>
        </w:rPr>
        <w:t>Kalahandi</w:t>
      </w:r>
      <w:proofErr w:type="spellEnd"/>
      <w:r w:rsidRPr="00417F40">
        <w:rPr>
          <w:sz w:val="20"/>
          <w:szCs w:val="20"/>
        </w:rPr>
        <w:t xml:space="preserve"> district, Orissa, 21.09.05, p.7 and p. 50. </w:t>
      </w:r>
    </w:p>
    <w:p w14:paraId="290C448A" w14:textId="77777777" w:rsidR="00694C5E" w:rsidRPr="00417F40" w:rsidRDefault="00694C5E" w:rsidP="00122D3A">
      <w:pPr>
        <w:pStyle w:val="FootnoteText"/>
        <w:ind w:left="720"/>
        <w:rPr>
          <w:sz w:val="20"/>
          <w:szCs w:val="20"/>
        </w:rPr>
      </w:pPr>
      <w:r w:rsidRPr="00417F40">
        <w:rPr>
          <w:sz w:val="20"/>
          <w:szCs w:val="20"/>
        </w:rPr>
        <w:t xml:space="preserve">“The agreement signed between the Orissa Mining Corporation (OMC) and M/s Vedanta for </w:t>
      </w:r>
    </w:p>
    <w:p w14:paraId="56AE3C92" w14:textId="77777777" w:rsidR="00694C5E" w:rsidRPr="00417F40" w:rsidRDefault="00694C5E" w:rsidP="00122D3A">
      <w:pPr>
        <w:pStyle w:val="FootnoteText"/>
        <w:ind w:left="720"/>
        <w:rPr>
          <w:sz w:val="20"/>
          <w:szCs w:val="20"/>
        </w:rPr>
      </w:pPr>
      <w:r w:rsidRPr="00417F40">
        <w:rPr>
          <w:sz w:val="20"/>
          <w:szCs w:val="20"/>
        </w:rPr>
        <w:t xml:space="preserve">establishment of a joint venture company for bauxite mining from </w:t>
      </w:r>
      <w:proofErr w:type="spellStart"/>
      <w:r w:rsidRPr="00417F40">
        <w:rPr>
          <w:sz w:val="20"/>
          <w:szCs w:val="20"/>
        </w:rPr>
        <w:t>Niyamgiri</w:t>
      </w:r>
      <w:proofErr w:type="spellEnd"/>
      <w:r w:rsidRPr="00417F40">
        <w:rPr>
          <w:sz w:val="20"/>
          <w:szCs w:val="20"/>
        </w:rPr>
        <w:t xml:space="preserve"> Hills, </w:t>
      </w:r>
      <w:proofErr w:type="spellStart"/>
      <w:r w:rsidRPr="00417F40">
        <w:rPr>
          <w:sz w:val="20"/>
          <w:szCs w:val="20"/>
        </w:rPr>
        <w:t>Lanjigarh</w:t>
      </w:r>
      <w:proofErr w:type="spellEnd"/>
      <w:r w:rsidRPr="00417F40">
        <w:rPr>
          <w:sz w:val="20"/>
          <w:szCs w:val="20"/>
        </w:rPr>
        <w:t xml:space="preserve"> and another mine provides that though the mining lease will be in the name of the OMC and it will be responsible for securing and complying with all the statutory approvals and legal requirements, M/s Vedanta will be de facto managing the mines and will be the principal beneficiary on payment of development charges, royalty and other statutory dues”; </w:t>
      </w:r>
    </w:p>
    <w:p w14:paraId="75569017" w14:textId="77777777" w:rsidR="00694C5E" w:rsidRPr="00417F40" w:rsidRDefault="00694C5E" w:rsidP="00122D3A">
      <w:pPr>
        <w:pStyle w:val="FootnoteText"/>
        <w:rPr>
          <w:sz w:val="20"/>
          <w:szCs w:val="20"/>
        </w:rPr>
      </w:pPr>
      <w:r w:rsidRPr="00417F40">
        <w:rPr>
          <w:sz w:val="20"/>
          <w:szCs w:val="20"/>
        </w:rPr>
        <w:t xml:space="preserve">available at: </w:t>
      </w:r>
      <w:hyperlink r:id="rId39" w:history="1">
        <w:r w:rsidRPr="00417F40">
          <w:rPr>
            <w:rStyle w:val="Hyperlink"/>
            <w:sz w:val="20"/>
            <w:szCs w:val="20"/>
          </w:rPr>
          <w:t>http://assets.survivalinternational.org/static/files/behindthelies/CEC_report_smaller.pdf</w:t>
        </w:r>
      </w:hyperlink>
    </w:p>
  </w:footnote>
  <w:footnote w:id="86">
    <w:p w14:paraId="14E2C782" w14:textId="77777777" w:rsidR="00694C5E" w:rsidRPr="00417F40" w:rsidRDefault="00694C5E" w:rsidP="00122D3A">
      <w:pPr>
        <w:pStyle w:val="FootnoteText"/>
        <w:rPr>
          <w:b/>
          <w:bCs/>
          <w:sz w:val="20"/>
          <w:szCs w:val="20"/>
        </w:rPr>
      </w:pPr>
      <w:r w:rsidRPr="00417F40">
        <w:rPr>
          <w:rStyle w:val="FootnoteReference"/>
          <w:sz w:val="20"/>
          <w:szCs w:val="20"/>
        </w:rPr>
        <w:footnoteRef/>
      </w:r>
      <w:r w:rsidRPr="00417F40">
        <w:rPr>
          <w:sz w:val="20"/>
          <w:szCs w:val="20"/>
        </w:rPr>
        <w:t xml:space="preserve"> “</w:t>
      </w:r>
      <w:r w:rsidRPr="00417F40">
        <w:rPr>
          <w:bCs/>
          <w:sz w:val="20"/>
          <w:szCs w:val="20"/>
        </w:rPr>
        <w:t xml:space="preserve">India refinery 'threatens health of local community,'” </w:t>
      </w:r>
      <w:r w:rsidRPr="00417F40">
        <w:rPr>
          <w:bCs/>
          <w:i/>
          <w:sz w:val="20"/>
          <w:szCs w:val="20"/>
        </w:rPr>
        <w:t xml:space="preserve">BBC News, </w:t>
      </w:r>
      <w:r w:rsidRPr="00417F40">
        <w:rPr>
          <w:bCs/>
          <w:sz w:val="20"/>
          <w:szCs w:val="20"/>
        </w:rPr>
        <w:t xml:space="preserve">last updated 9 February 2010: </w:t>
      </w:r>
      <w:hyperlink r:id="rId40" w:history="1">
        <w:r w:rsidRPr="00417F40">
          <w:rPr>
            <w:rStyle w:val="Hyperlink"/>
            <w:bCs/>
            <w:sz w:val="20"/>
            <w:szCs w:val="20"/>
          </w:rPr>
          <w:t>http://news.bbc.co.uk/2/hi/south_asia/8505250.stm</w:t>
        </w:r>
      </w:hyperlink>
    </w:p>
  </w:footnote>
  <w:footnote w:id="87">
    <w:p w14:paraId="5B0C7129"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Ibid.</w:t>
      </w:r>
    </w:p>
  </w:footnote>
  <w:footnote w:id="88">
    <w:p w14:paraId="075E0ECF"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Ibid</w:t>
      </w:r>
      <w:proofErr w:type="gramStart"/>
      <w:r w:rsidRPr="00417F40">
        <w:rPr>
          <w:sz w:val="20"/>
          <w:szCs w:val="20"/>
        </w:rPr>
        <w:t>.,</w:t>
      </w:r>
      <w:proofErr w:type="gramEnd"/>
      <w:r w:rsidRPr="00417F40">
        <w:rPr>
          <w:sz w:val="20"/>
          <w:szCs w:val="20"/>
        </w:rPr>
        <w:t xml:space="preserve"> at sections 32-33.</w:t>
      </w:r>
    </w:p>
  </w:footnote>
  <w:footnote w:id="89">
    <w:p w14:paraId="3E6AD7AB" w14:textId="77777777" w:rsidR="00694C5E" w:rsidRPr="00417F40" w:rsidRDefault="00694C5E" w:rsidP="00122D3A">
      <w:pPr>
        <w:pStyle w:val="FootnoteText"/>
        <w:rPr>
          <w:sz w:val="20"/>
          <w:szCs w:val="20"/>
        </w:rPr>
      </w:pPr>
      <w:r w:rsidRPr="00417F40">
        <w:rPr>
          <w:rStyle w:val="FootnoteReference"/>
          <w:sz w:val="20"/>
          <w:szCs w:val="20"/>
        </w:rPr>
        <w:footnoteRef/>
      </w:r>
      <w:r w:rsidRPr="00417F40">
        <w:rPr>
          <w:sz w:val="20"/>
          <w:szCs w:val="20"/>
        </w:rPr>
        <w:t xml:space="preserve"> “Vedanta Resources caught in web of allegations,” </w:t>
      </w:r>
      <w:r w:rsidRPr="00417F40">
        <w:rPr>
          <w:i/>
          <w:sz w:val="20"/>
          <w:szCs w:val="20"/>
        </w:rPr>
        <w:t xml:space="preserve">The Economic Times, </w:t>
      </w:r>
      <w:r w:rsidRPr="00417F40">
        <w:rPr>
          <w:sz w:val="20"/>
          <w:szCs w:val="20"/>
        </w:rPr>
        <w:t xml:space="preserve">posted Feb. 8, 2010. </w:t>
      </w:r>
      <w:hyperlink r:id="rId41" w:history="1">
        <w:r w:rsidRPr="00417F40">
          <w:rPr>
            <w:rStyle w:val="Hyperlink"/>
            <w:sz w:val="20"/>
            <w:szCs w:val="20"/>
          </w:rPr>
          <w:t>http://articles.economictimes.indiatimes.com/2010-02-08/news/28391260_1_niyamgiri-mine-bauxite-vedanta-resources</w:t>
        </w:r>
      </w:hyperlink>
    </w:p>
  </w:footnote>
  <w:footnote w:id="90">
    <w:p w14:paraId="23E08501" w14:textId="77777777" w:rsidR="00694C5E" w:rsidRPr="00417F40" w:rsidRDefault="00694C5E" w:rsidP="00D16522">
      <w:pPr>
        <w:pStyle w:val="FootnoteText"/>
        <w:rPr>
          <w:sz w:val="20"/>
          <w:szCs w:val="20"/>
        </w:rPr>
      </w:pPr>
      <w:r w:rsidRPr="00417F40">
        <w:rPr>
          <w:rStyle w:val="FootnoteReference"/>
          <w:sz w:val="20"/>
          <w:szCs w:val="20"/>
        </w:rPr>
        <w:footnoteRef/>
      </w:r>
      <w:r w:rsidRPr="00417F40">
        <w:rPr>
          <w:sz w:val="20"/>
          <w:szCs w:val="20"/>
        </w:rPr>
        <w:t xml:space="preserve"> “New Survival campaign targets British company Vedanta – mine set to destroy remote tribe”, Survival International, 29 April 2008</w:t>
      </w:r>
    </w:p>
    <w:p w14:paraId="775B2E95" w14:textId="77777777" w:rsidR="00694C5E" w:rsidRPr="00417F40" w:rsidRDefault="00694C5E" w:rsidP="00D16522">
      <w:pPr>
        <w:pStyle w:val="FootnoteText"/>
        <w:rPr>
          <w:sz w:val="20"/>
          <w:szCs w:val="20"/>
        </w:rPr>
      </w:pPr>
      <w:r w:rsidRPr="00417F40">
        <w:rPr>
          <w:sz w:val="20"/>
          <w:szCs w:val="20"/>
        </w:rPr>
        <w:t xml:space="preserve"> </w:t>
      </w:r>
      <w:hyperlink r:id="rId42" w:history="1">
        <w:r w:rsidRPr="00417F40">
          <w:rPr>
            <w:rStyle w:val="Hyperlink"/>
            <w:sz w:val="20"/>
            <w:szCs w:val="20"/>
          </w:rPr>
          <w:t>http://www.survivalinternational.org/news/3272</w:t>
        </w:r>
      </w:hyperlink>
      <w:r w:rsidRPr="00417F40">
        <w:rPr>
          <w:sz w:val="20"/>
          <w:szCs w:val="20"/>
        </w:rPr>
        <w:t xml:space="preserve"> </w:t>
      </w:r>
    </w:p>
  </w:footnote>
  <w:footnote w:id="91">
    <w:p w14:paraId="00170551" w14:textId="77777777" w:rsidR="00694C5E" w:rsidRPr="00417F40" w:rsidRDefault="00694C5E" w:rsidP="00D16522">
      <w:pPr>
        <w:pStyle w:val="FootnoteText"/>
        <w:rPr>
          <w:sz w:val="20"/>
          <w:szCs w:val="20"/>
        </w:rPr>
      </w:pPr>
      <w:r w:rsidRPr="00417F40">
        <w:rPr>
          <w:rStyle w:val="FootnoteReference"/>
          <w:sz w:val="20"/>
          <w:szCs w:val="20"/>
        </w:rPr>
        <w:footnoteRef/>
      </w:r>
      <w:r w:rsidRPr="00417F40">
        <w:rPr>
          <w:sz w:val="20"/>
          <w:szCs w:val="20"/>
        </w:rPr>
        <w:t xml:space="preserve"> “About us”, </w:t>
      </w:r>
      <w:hyperlink r:id="rId43" w:history="1">
        <w:r w:rsidRPr="00417F40">
          <w:rPr>
            <w:rStyle w:val="Hyperlink"/>
            <w:sz w:val="20"/>
            <w:szCs w:val="20"/>
          </w:rPr>
          <w:t>http://www.survivalinternational.org/info</w:t>
        </w:r>
      </w:hyperlink>
    </w:p>
  </w:footnote>
  <w:footnote w:id="92">
    <w:p w14:paraId="0E339938" w14:textId="77777777" w:rsidR="00694C5E" w:rsidRPr="00417F40" w:rsidRDefault="00694C5E" w:rsidP="00D16522">
      <w:pPr>
        <w:pStyle w:val="FootnoteText"/>
        <w:rPr>
          <w:sz w:val="20"/>
          <w:szCs w:val="20"/>
        </w:rPr>
      </w:pPr>
      <w:r w:rsidRPr="00417F40">
        <w:rPr>
          <w:rStyle w:val="FootnoteReference"/>
          <w:sz w:val="20"/>
          <w:szCs w:val="20"/>
        </w:rPr>
        <w:footnoteRef/>
      </w:r>
      <w:r w:rsidRPr="00417F40">
        <w:rPr>
          <w:sz w:val="20"/>
          <w:szCs w:val="20"/>
        </w:rPr>
        <w:t xml:space="preserve"> Napoleon A. </w:t>
      </w:r>
      <w:proofErr w:type="spellStart"/>
      <w:r w:rsidRPr="00417F40">
        <w:rPr>
          <w:sz w:val="20"/>
          <w:szCs w:val="20"/>
        </w:rPr>
        <w:t>Chagnon</w:t>
      </w:r>
      <w:proofErr w:type="spellEnd"/>
      <w:r w:rsidRPr="00417F40">
        <w:rPr>
          <w:sz w:val="20"/>
          <w:szCs w:val="20"/>
        </w:rPr>
        <w:t xml:space="preserve">, </w:t>
      </w:r>
      <w:proofErr w:type="spellStart"/>
      <w:r w:rsidRPr="00417F40">
        <w:rPr>
          <w:i/>
          <w:sz w:val="20"/>
          <w:szCs w:val="20"/>
        </w:rPr>
        <w:t>Yanamamo</w:t>
      </w:r>
      <w:proofErr w:type="spellEnd"/>
      <w:r w:rsidRPr="00417F40">
        <w:rPr>
          <w:i/>
          <w:sz w:val="20"/>
          <w:szCs w:val="20"/>
        </w:rPr>
        <w:t>: Case Studies in Cultural Anthropology.</w:t>
      </w:r>
      <w:r w:rsidRPr="00417F40">
        <w:rPr>
          <w:sz w:val="20"/>
          <w:szCs w:val="20"/>
        </w:rPr>
        <w:t> </w:t>
      </w:r>
      <w:proofErr w:type="gramStart"/>
      <w:r w:rsidRPr="00417F40">
        <w:rPr>
          <w:sz w:val="20"/>
          <w:szCs w:val="20"/>
        </w:rPr>
        <w:t>Wadsworth Publishing, 2009.</w:t>
      </w:r>
      <w:proofErr w:type="gramEnd"/>
      <w:r w:rsidRPr="00417F40">
        <w:rPr>
          <w:sz w:val="20"/>
          <w:szCs w:val="20"/>
        </w:rPr>
        <w:t xml:space="preserve"> p. 231–232.</w:t>
      </w:r>
    </w:p>
  </w:footnote>
  <w:footnote w:id="93">
    <w:p w14:paraId="6C89B3F0" w14:textId="77777777" w:rsidR="00694C5E" w:rsidRPr="00417F40" w:rsidRDefault="00694C5E" w:rsidP="001B0F86">
      <w:pPr>
        <w:pStyle w:val="FootnoteText"/>
        <w:rPr>
          <w:bCs/>
          <w:sz w:val="20"/>
          <w:szCs w:val="20"/>
        </w:rPr>
      </w:pPr>
      <w:r w:rsidRPr="00417F40">
        <w:rPr>
          <w:rStyle w:val="FootnoteReference"/>
          <w:sz w:val="20"/>
          <w:szCs w:val="20"/>
        </w:rPr>
        <w:footnoteRef/>
      </w:r>
      <w:r w:rsidRPr="00417F40">
        <w:rPr>
          <w:sz w:val="20"/>
          <w:szCs w:val="20"/>
        </w:rPr>
        <w:t xml:space="preserve"> See “</w:t>
      </w:r>
      <w:r w:rsidRPr="00417F40">
        <w:rPr>
          <w:bCs/>
          <w:sz w:val="20"/>
          <w:szCs w:val="20"/>
        </w:rPr>
        <w:t xml:space="preserve">UK National Contact Point for the </w:t>
      </w:r>
      <w:proofErr w:type="spellStart"/>
      <w:r w:rsidRPr="00417F40">
        <w:rPr>
          <w:bCs/>
          <w:sz w:val="20"/>
          <w:szCs w:val="20"/>
        </w:rPr>
        <w:t>Organisation</w:t>
      </w:r>
      <w:proofErr w:type="spellEnd"/>
      <w:r w:rsidRPr="00417F40">
        <w:rPr>
          <w:bCs/>
          <w:sz w:val="20"/>
          <w:szCs w:val="20"/>
        </w:rPr>
        <w:t xml:space="preserve"> for Economic Co-operation and Development (OECD) guidelines for multinational enterprises,” UK Department for Business, Innovation &amp; Skills: “</w:t>
      </w:r>
    </w:p>
    <w:p w14:paraId="79C8E754" w14:textId="77777777" w:rsidR="00694C5E" w:rsidRPr="00417F40" w:rsidRDefault="00694C5E" w:rsidP="001B0F86">
      <w:pPr>
        <w:pStyle w:val="FootnoteText"/>
        <w:ind w:left="720"/>
        <w:jc w:val="both"/>
        <w:rPr>
          <w:sz w:val="20"/>
          <w:szCs w:val="20"/>
        </w:rPr>
      </w:pPr>
      <w:r w:rsidRPr="00417F40">
        <w:rPr>
          <w:b/>
          <w:bCs/>
          <w:sz w:val="20"/>
          <w:szCs w:val="20"/>
        </w:rPr>
        <w:t xml:space="preserve"> </w:t>
      </w:r>
      <w:r w:rsidRPr="00417F40">
        <w:rPr>
          <w:sz w:val="20"/>
          <w:szCs w:val="20"/>
        </w:rPr>
        <w:t>The UK NCP complaint process is broadly divided in three key stages: (1) Initial Assessment (Desk based analysis of the complaint, the companies response and any additional information provided by the parties. The UK NCP will use this information to decide whether further consideration of a complaint is warranted.); (2) Conciliation/Mediation/Examination (If a case is accepted, the UK NCP will offer conciliation/mediation to both parties with the aim of reaching a settlement. Should conciliation/mediation fail to achieve a resolution or should the parties decline the offer then the UK NCP will examine the complaint in order to assess whether it is justified.); and (3) Final Statement- If a mediated settlement has been reached, the UK NCP will publish a Final Statement with details of the agreement. If the UK NCP examined the complaint (because conciliation/mediation is refused or fails to achieve an agreement), it will prepare and publish a Final Statement with a clear statement as to whether or not the Guidelines have been breached and recommendations to the company for future conduct, if necessary.”</w:t>
      </w:r>
    </w:p>
    <w:p w14:paraId="2B5F73EF" w14:textId="77777777" w:rsidR="00694C5E" w:rsidRPr="00417F40" w:rsidRDefault="00694C5E" w:rsidP="001B0F86">
      <w:pPr>
        <w:pStyle w:val="FootnoteText"/>
        <w:jc w:val="both"/>
        <w:rPr>
          <w:b/>
          <w:bCs/>
          <w:sz w:val="20"/>
          <w:szCs w:val="20"/>
        </w:rPr>
      </w:pPr>
      <w:r w:rsidRPr="00417F40">
        <w:rPr>
          <w:sz w:val="20"/>
          <w:szCs w:val="20"/>
        </w:rPr>
        <w:t xml:space="preserve">Available: </w:t>
      </w:r>
      <w:hyperlink r:id="rId44" w:history="1">
        <w:r w:rsidRPr="00417F40">
          <w:rPr>
            <w:rStyle w:val="Hyperlink"/>
            <w:sz w:val="20"/>
            <w:szCs w:val="20"/>
          </w:rPr>
          <w:t>https://www.gov.uk/uk-national-contact-point-for-the-organisation-for-economic-co-operation-and-development-oecd-guidelines-for-multinational-enterprises</w:t>
        </w:r>
      </w:hyperlink>
    </w:p>
  </w:footnote>
  <w:footnote w:id="94">
    <w:p w14:paraId="07EF5964"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See “Follow up to Final Statement by the UK National Contact Point for the OECD Guidelines for Multinational Enterprises”, UK National Contact Point for the OECD Guidelines for Multinational </w:t>
      </w:r>
    </w:p>
    <w:p w14:paraId="04450256" w14:textId="77777777" w:rsidR="00694C5E" w:rsidRPr="00417F40" w:rsidRDefault="00694C5E" w:rsidP="001B0F86">
      <w:pPr>
        <w:pStyle w:val="FootnoteText"/>
        <w:rPr>
          <w:sz w:val="20"/>
          <w:szCs w:val="20"/>
        </w:rPr>
      </w:pPr>
      <w:r w:rsidRPr="00417F40">
        <w:rPr>
          <w:sz w:val="20"/>
          <w:szCs w:val="20"/>
        </w:rPr>
        <w:t xml:space="preserve">Enterprises. 12 March 2010. Available:  </w:t>
      </w:r>
      <w:hyperlink r:id="rId45" w:history="1">
        <w:r w:rsidRPr="00417F40">
          <w:rPr>
            <w:rStyle w:val="Hyperlink"/>
            <w:sz w:val="20"/>
            <w:szCs w:val="20"/>
          </w:rPr>
          <w:t>http://www.bis.gov.uk/assets/biscore/business-sectors/docs/10-778-survival-international-against-vedanta-resources.pdf</w:t>
        </w:r>
      </w:hyperlink>
      <w:r w:rsidRPr="00417F40">
        <w:rPr>
          <w:sz w:val="20"/>
          <w:szCs w:val="20"/>
        </w:rPr>
        <w:t xml:space="preserve"> </w:t>
      </w:r>
    </w:p>
  </w:footnote>
  <w:footnote w:id="95">
    <w:p w14:paraId="667748C6"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See “Complaint to the UK National Contact Point under the Specific Instance Procedure of the OECD Guidelines for Multinational Enterprises,” Survival International, 19 December 2008: </w:t>
      </w:r>
      <w:hyperlink r:id="rId46" w:history="1">
        <w:r w:rsidRPr="00417F40">
          <w:rPr>
            <w:rStyle w:val="Hyperlink"/>
            <w:sz w:val="20"/>
            <w:szCs w:val="20"/>
          </w:rPr>
          <w:t>http://assets.survivalinternational.org/documents/96/Survival_complaint_VEDANTA.pdf</w:t>
        </w:r>
      </w:hyperlink>
    </w:p>
  </w:footnote>
  <w:footnote w:id="96">
    <w:p w14:paraId="092FC23A"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Ibid.</w:t>
      </w:r>
    </w:p>
  </w:footnote>
  <w:footnote w:id="97">
    <w:p w14:paraId="083AECF0"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Backer et al., supra at 13.</w:t>
      </w:r>
    </w:p>
  </w:footnote>
  <w:footnote w:id="98">
    <w:p w14:paraId="57A059B3"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Katharine Young, “The Minimum Core of Economic and Social Rights: A Concept in Search of Content</w:t>
      </w:r>
      <w:r w:rsidRPr="00417F40">
        <w:rPr>
          <w:b/>
          <w:sz w:val="20"/>
          <w:szCs w:val="20"/>
        </w:rPr>
        <w:t>”,</w:t>
      </w:r>
      <w:r w:rsidRPr="00417F40">
        <w:rPr>
          <w:sz w:val="20"/>
          <w:szCs w:val="20"/>
        </w:rPr>
        <w:t xml:space="preserve"> THE YALE JOURNAL OF INTERNATIONAL LAW Vol. 33 p.113</w:t>
      </w:r>
    </w:p>
  </w:footnote>
  <w:footnote w:id="99">
    <w:p w14:paraId="3D9E0FCE"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Backer et al., supra at 53.</w:t>
      </w:r>
    </w:p>
  </w:footnote>
  <w:footnote w:id="100">
    <w:p w14:paraId="73D11B43"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Ibid</w:t>
      </w:r>
      <w:proofErr w:type="gramStart"/>
      <w:r w:rsidRPr="00417F40">
        <w:rPr>
          <w:sz w:val="20"/>
          <w:szCs w:val="20"/>
        </w:rPr>
        <w:t>.,</w:t>
      </w:r>
      <w:proofErr w:type="gramEnd"/>
      <w:r w:rsidRPr="00417F40">
        <w:rPr>
          <w:sz w:val="20"/>
          <w:szCs w:val="20"/>
        </w:rPr>
        <w:t xml:space="preserve"> see also, MNE Guidelines.  </w:t>
      </w:r>
    </w:p>
  </w:footnote>
  <w:footnote w:id="101">
    <w:p w14:paraId="380FD9D8"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See “The Universal Declaration of Human Rights,” Article 2:</w:t>
      </w:r>
    </w:p>
    <w:p w14:paraId="5324FABA" w14:textId="77777777" w:rsidR="00694C5E" w:rsidRPr="00417F40" w:rsidRDefault="00694C5E" w:rsidP="001B0F86">
      <w:pPr>
        <w:pStyle w:val="FootnoteText"/>
        <w:rPr>
          <w:sz w:val="20"/>
          <w:szCs w:val="20"/>
        </w:rPr>
      </w:pPr>
      <w:r w:rsidRPr="00417F40">
        <w:rPr>
          <w:sz w:val="20"/>
          <w:szCs w:val="20"/>
        </w:rPr>
        <w:t xml:space="preserve">“Everyone is entitled to all the rights and freedoms set forth in this Declaration, without distinction of any kind, such as race, </w:t>
      </w:r>
      <w:proofErr w:type="spellStart"/>
      <w:r w:rsidRPr="00417F40">
        <w:rPr>
          <w:sz w:val="20"/>
          <w:szCs w:val="20"/>
        </w:rPr>
        <w:t>colour</w:t>
      </w:r>
      <w:proofErr w:type="spellEnd"/>
      <w:r w:rsidRPr="00417F40">
        <w:rPr>
          <w:sz w:val="20"/>
          <w:szCs w:val="20"/>
        </w:rPr>
        <w:t xml:space="preserve">, sex, language, religion, political or other opinion, national or social origin, property, birth or other status. Furthermore, no distinction shall be made on the basis of the political, jurisdictional or international status of the country or territory to which a person belongs, whether it be independent, trust, non-self-governing or under any other limitation of sovereignty.” </w:t>
      </w:r>
    </w:p>
    <w:p w14:paraId="4CB38172" w14:textId="77777777" w:rsidR="00694C5E" w:rsidRPr="00417F40" w:rsidRDefault="00694C5E" w:rsidP="001B0F86">
      <w:pPr>
        <w:pStyle w:val="FootnoteText"/>
        <w:rPr>
          <w:sz w:val="20"/>
          <w:szCs w:val="20"/>
        </w:rPr>
      </w:pPr>
      <w:r w:rsidRPr="00417F40">
        <w:rPr>
          <w:sz w:val="20"/>
          <w:szCs w:val="20"/>
        </w:rPr>
        <w:t xml:space="preserve">Available: </w:t>
      </w:r>
      <w:hyperlink r:id="rId47" w:history="1">
        <w:r w:rsidRPr="00417F40">
          <w:rPr>
            <w:rStyle w:val="Hyperlink"/>
            <w:sz w:val="20"/>
            <w:szCs w:val="20"/>
          </w:rPr>
          <w:t>http://www.un.org/en/documents/udhr/index.shtml</w:t>
        </w:r>
      </w:hyperlink>
    </w:p>
  </w:footnote>
  <w:footnote w:id="102">
    <w:p w14:paraId="1D79BE05"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Complaint, p. 7-8.</w:t>
      </w:r>
    </w:p>
  </w:footnote>
  <w:footnote w:id="103">
    <w:p w14:paraId="627B83DB"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FPIC stands for “Free, Prior and Informed Consent”.</w:t>
      </w:r>
    </w:p>
  </w:footnote>
  <w:footnote w:id="104">
    <w:p w14:paraId="377E51AF"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See Statute of the International Court of Justice, Article 38.1.</w:t>
      </w:r>
    </w:p>
  </w:footnote>
  <w:footnote w:id="105">
    <w:p w14:paraId="04107A59"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Paul Patton, “Concept and Politics in Derrida and </w:t>
      </w:r>
      <w:proofErr w:type="spellStart"/>
      <w:r w:rsidRPr="00417F40">
        <w:rPr>
          <w:sz w:val="20"/>
          <w:szCs w:val="20"/>
        </w:rPr>
        <w:t>Deleuze</w:t>
      </w:r>
      <w:proofErr w:type="spellEnd"/>
      <w:r w:rsidRPr="00417F40">
        <w:rPr>
          <w:sz w:val="20"/>
          <w:szCs w:val="20"/>
        </w:rPr>
        <w:t xml:space="preserve">,” </w:t>
      </w:r>
      <w:r w:rsidRPr="00417F40">
        <w:rPr>
          <w:i/>
          <w:sz w:val="20"/>
          <w:szCs w:val="20"/>
        </w:rPr>
        <w:t xml:space="preserve">Critical Horizons, </w:t>
      </w:r>
      <w:r w:rsidRPr="00417F40">
        <w:rPr>
          <w:sz w:val="20"/>
          <w:szCs w:val="20"/>
        </w:rPr>
        <w:t xml:space="preserve">02/2010, Volume 4, Issue 2, p. 157: </w:t>
      </w:r>
    </w:p>
    <w:p w14:paraId="07325EA9" w14:textId="77777777" w:rsidR="00694C5E" w:rsidRPr="00417F40" w:rsidRDefault="00694C5E" w:rsidP="001B0F86">
      <w:pPr>
        <w:pStyle w:val="FootnoteText"/>
        <w:rPr>
          <w:sz w:val="20"/>
          <w:szCs w:val="20"/>
        </w:rPr>
      </w:pPr>
      <w:r w:rsidRPr="00417F40">
        <w:rPr>
          <w:sz w:val="20"/>
          <w:szCs w:val="20"/>
        </w:rPr>
        <w:t xml:space="preserve">“…philosophy helps to make the future different from the past by providing new means of description for social and political events and states of affairs. As a result, pragmatic philosophers are those who ‘specialize in </w:t>
      </w:r>
      <w:proofErr w:type="spellStart"/>
      <w:r w:rsidRPr="00417F40">
        <w:rPr>
          <w:sz w:val="20"/>
          <w:szCs w:val="20"/>
        </w:rPr>
        <w:t>redescribing</w:t>
      </w:r>
      <w:proofErr w:type="spellEnd"/>
      <w:r w:rsidRPr="00417F40">
        <w:rPr>
          <w:sz w:val="20"/>
          <w:szCs w:val="20"/>
        </w:rPr>
        <w:t xml:space="preserve"> ranges of objects or events in partially </w:t>
      </w:r>
      <w:proofErr w:type="spellStart"/>
      <w:r w:rsidRPr="00417F40">
        <w:rPr>
          <w:sz w:val="20"/>
          <w:szCs w:val="20"/>
        </w:rPr>
        <w:t>neologistic</w:t>
      </w:r>
      <w:proofErr w:type="spellEnd"/>
      <w:r w:rsidRPr="00417F40">
        <w:rPr>
          <w:sz w:val="20"/>
          <w:szCs w:val="20"/>
        </w:rPr>
        <w:t xml:space="preserve"> jargon in the hope of inciting people to adopt and extend that jargon.’ </w:t>
      </w:r>
      <w:proofErr w:type="spellStart"/>
      <w:r w:rsidRPr="00417F40">
        <w:rPr>
          <w:sz w:val="20"/>
          <w:szCs w:val="20"/>
        </w:rPr>
        <w:t>Redescription</w:t>
      </w:r>
      <w:proofErr w:type="spellEnd"/>
      <w:r w:rsidRPr="00417F40">
        <w:rPr>
          <w:sz w:val="20"/>
          <w:szCs w:val="20"/>
        </w:rPr>
        <w:t xml:space="preserve"> rather than argument is the only appropriate method of criticizing an existing vocabulary.”</w:t>
      </w:r>
    </w:p>
  </w:footnote>
  <w:footnote w:id="106">
    <w:p w14:paraId="326620F5"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w:t>
      </w:r>
      <w:r w:rsidRPr="00417F40">
        <w:rPr>
          <w:rStyle w:val="apple-converted-space"/>
          <w:color w:val="000000"/>
          <w:sz w:val="20"/>
          <w:szCs w:val="20"/>
          <w:shd w:val="clear" w:color="auto" w:fill="FFFFFF"/>
        </w:rPr>
        <w:t> </w:t>
      </w:r>
      <w:proofErr w:type="gramStart"/>
      <w:r w:rsidRPr="00417F40">
        <w:rPr>
          <w:rStyle w:val="apple-converted-space"/>
          <w:color w:val="000000"/>
          <w:sz w:val="20"/>
          <w:szCs w:val="20"/>
          <w:shd w:val="clear" w:color="auto" w:fill="FFFFFF"/>
        </w:rPr>
        <w:t xml:space="preserve">Louis </w:t>
      </w:r>
      <w:proofErr w:type="spellStart"/>
      <w:r w:rsidRPr="00417F40">
        <w:rPr>
          <w:rStyle w:val="apple-converted-space"/>
          <w:color w:val="000000"/>
          <w:sz w:val="20"/>
          <w:szCs w:val="20"/>
          <w:shd w:val="clear" w:color="auto" w:fill="FFFFFF"/>
        </w:rPr>
        <w:t>Althusser</w:t>
      </w:r>
      <w:proofErr w:type="spellEnd"/>
      <w:r w:rsidRPr="00417F40">
        <w:rPr>
          <w:rStyle w:val="apple-converted-space"/>
          <w:color w:val="000000"/>
          <w:sz w:val="20"/>
          <w:szCs w:val="20"/>
          <w:shd w:val="clear" w:color="auto" w:fill="FFFFFF"/>
        </w:rPr>
        <w:t>, "Ideology and Ideological State Apparatuses (Notes towards an Investigation)".</w:t>
      </w:r>
      <w:proofErr w:type="gramEnd"/>
      <w:r w:rsidRPr="00417F40">
        <w:rPr>
          <w:rStyle w:val="apple-converted-space"/>
          <w:color w:val="000000"/>
          <w:sz w:val="20"/>
          <w:szCs w:val="20"/>
          <w:shd w:val="clear" w:color="auto" w:fill="FFFFFF"/>
        </w:rPr>
        <w:t xml:space="preserve"> </w:t>
      </w:r>
      <w:r w:rsidRPr="00417F40">
        <w:rPr>
          <w:rStyle w:val="apple-converted-space"/>
          <w:i/>
          <w:color w:val="000000"/>
          <w:sz w:val="20"/>
          <w:szCs w:val="20"/>
          <w:shd w:val="clear" w:color="auto" w:fill="FFFFFF"/>
        </w:rPr>
        <w:t>Lenin and Philosophy and Other Essays</w:t>
      </w:r>
      <w:r w:rsidRPr="00417F40">
        <w:rPr>
          <w:rStyle w:val="apple-converted-space"/>
          <w:color w:val="000000"/>
          <w:sz w:val="20"/>
          <w:szCs w:val="20"/>
          <w:shd w:val="clear" w:color="auto" w:fill="FFFFFF"/>
        </w:rPr>
        <w:t>, translated from the French by Ben Brewster, Monthly Review Press: 1971: “…</w:t>
      </w:r>
      <w:r w:rsidRPr="00417F40">
        <w:rPr>
          <w:color w:val="000000"/>
          <w:sz w:val="20"/>
          <w:szCs w:val="20"/>
          <w:shd w:val="clear" w:color="auto" w:fill="FFFFFF"/>
        </w:rPr>
        <w:t>the individual</w:t>
      </w:r>
      <w:r w:rsidRPr="00417F40">
        <w:rPr>
          <w:rStyle w:val="apple-converted-space"/>
          <w:color w:val="000000"/>
          <w:sz w:val="20"/>
          <w:szCs w:val="20"/>
          <w:shd w:val="clear" w:color="auto" w:fill="FFFFFF"/>
        </w:rPr>
        <w:t> </w:t>
      </w:r>
      <w:r w:rsidRPr="00417F40">
        <w:rPr>
          <w:rStyle w:val="Emphasis"/>
          <w:color w:val="000000"/>
          <w:sz w:val="20"/>
          <w:szCs w:val="20"/>
          <w:shd w:val="clear" w:color="auto" w:fill="FFFFFF"/>
        </w:rPr>
        <w:t xml:space="preserve">is </w:t>
      </w:r>
      <w:proofErr w:type="spellStart"/>
      <w:r w:rsidRPr="00417F40">
        <w:rPr>
          <w:rStyle w:val="Emphasis"/>
          <w:color w:val="000000"/>
          <w:sz w:val="20"/>
          <w:szCs w:val="20"/>
          <w:shd w:val="clear" w:color="auto" w:fill="FFFFFF"/>
        </w:rPr>
        <w:t>interpellated</w:t>
      </w:r>
      <w:proofErr w:type="spellEnd"/>
      <w:r w:rsidRPr="00417F40">
        <w:rPr>
          <w:rStyle w:val="Emphasis"/>
          <w:color w:val="000000"/>
          <w:sz w:val="20"/>
          <w:szCs w:val="20"/>
          <w:shd w:val="clear" w:color="auto" w:fill="FFFFFF"/>
        </w:rPr>
        <w:t xml:space="preserve"> as a</w:t>
      </w:r>
      <w:r w:rsidRPr="00417F40">
        <w:rPr>
          <w:rStyle w:val="apple-converted-space"/>
          <w:color w:val="000000"/>
          <w:sz w:val="20"/>
          <w:szCs w:val="20"/>
          <w:shd w:val="clear" w:color="auto" w:fill="FFFFFF"/>
        </w:rPr>
        <w:t> </w:t>
      </w:r>
      <w:r w:rsidRPr="00417F40">
        <w:rPr>
          <w:color w:val="000000"/>
          <w:sz w:val="20"/>
          <w:szCs w:val="20"/>
          <w:shd w:val="clear" w:color="auto" w:fill="FFFFFF"/>
        </w:rPr>
        <w:t>(</w:t>
      </w:r>
      <w:r w:rsidRPr="00417F40">
        <w:rPr>
          <w:rStyle w:val="Emphasis"/>
          <w:color w:val="000000"/>
          <w:sz w:val="20"/>
          <w:szCs w:val="20"/>
          <w:shd w:val="clear" w:color="auto" w:fill="FFFFFF"/>
        </w:rPr>
        <w:t>free) subject in order that he shall submit freely to the commandments of the Subject</w:t>
      </w:r>
      <w:r w:rsidRPr="00417F40">
        <w:rPr>
          <w:color w:val="000000"/>
          <w:sz w:val="20"/>
          <w:szCs w:val="20"/>
          <w:shd w:val="clear" w:color="auto" w:fill="FFFFFF"/>
        </w:rPr>
        <w:t>,</w:t>
      </w:r>
      <w:r w:rsidRPr="00417F40">
        <w:rPr>
          <w:rStyle w:val="apple-converted-space"/>
          <w:color w:val="000000"/>
          <w:sz w:val="20"/>
          <w:szCs w:val="20"/>
          <w:shd w:val="clear" w:color="auto" w:fill="FFFFFF"/>
        </w:rPr>
        <w:t> </w:t>
      </w:r>
      <w:r w:rsidRPr="00417F40">
        <w:rPr>
          <w:rStyle w:val="Emphasis"/>
          <w:color w:val="000000"/>
          <w:sz w:val="20"/>
          <w:szCs w:val="20"/>
          <w:shd w:val="clear" w:color="auto" w:fill="FFFFFF"/>
        </w:rPr>
        <w:t>i.e. in order that he shall</w:t>
      </w:r>
      <w:r w:rsidRPr="00417F40">
        <w:rPr>
          <w:rStyle w:val="apple-converted-space"/>
          <w:color w:val="000000"/>
          <w:sz w:val="20"/>
          <w:szCs w:val="20"/>
          <w:shd w:val="clear" w:color="auto" w:fill="FFFFFF"/>
        </w:rPr>
        <w:t> </w:t>
      </w:r>
      <w:r w:rsidRPr="00417F40">
        <w:rPr>
          <w:color w:val="000000"/>
          <w:sz w:val="20"/>
          <w:szCs w:val="20"/>
          <w:shd w:val="clear" w:color="auto" w:fill="FFFFFF"/>
        </w:rPr>
        <w:t>(</w:t>
      </w:r>
      <w:r w:rsidRPr="00417F40">
        <w:rPr>
          <w:rStyle w:val="Emphasis"/>
          <w:color w:val="000000"/>
          <w:sz w:val="20"/>
          <w:szCs w:val="20"/>
          <w:shd w:val="clear" w:color="auto" w:fill="FFFFFF"/>
        </w:rPr>
        <w:t>freely)</w:t>
      </w:r>
      <w:r w:rsidRPr="00417F40">
        <w:rPr>
          <w:rStyle w:val="apple-converted-space"/>
          <w:color w:val="000000"/>
          <w:sz w:val="20"/>
          <w:szCs w:val="20"/>
          <w:shd w:val="clear" w:color="auto" w:fill="FFFFFF"/>
        </w:rPr>
        <w:t> </w:t>
      </w:r>
      <w:r w:rsidRPr="00417F40">
        <w:rPr>
          <w:rStyle w:val="Emphasis"/>
          <w:color w:val="000000"/>
          <w:sz w:val="20"/>
          <w:szCs w:val="20"/>
          <w:shd w:val="clear" w:color="auto" w:fill="FFFFFF"/>
        </w:rPr>
        <w:t>accept his subjection</w:t>
      </w:r>
      <w:r w:rsidRPr="00417F40">
        <w:rPr>
          <w:color w:val="000000"/>
          <w:sz w:val="20"/>
          <w:szCs w:val="20"/>
          <w:shd w:val="clear" w:color="auto" w:fill="FFFFFF"/>
        </w:rPr>
        <w:t>, i.e. in order that he shall make the gestures and actions of his subjection ‘all by himself’.</w:t>
      </w:r>
      <w:r w:rsidRPr="00417F40">
        <w:rPr>
          <w:rStyle w:val="apple-converted-space"/>
          <w:color w:val="000000"/>
          <w:sz w:val="20"/>
          <w:szCs w:val="20"/>
          <w:shd w:val="clear" w:color="auto" w:fill="FFFFFF"/>
        </w:rPr>
        <w:t> </w:t>
      </w:r>
      <w:r w:rsidRPr="00417F40">
        <w:rPr>
          <w:rStyle w:val="Emphasis"/>
          <w:color w:val="000000"/>
          <w:sz w:val="20"/>
          <w:szCs w:val="20"/>
          <w:shd w:val="clear" w:color="auto" w:fill="FFFFFF"/>
        </w:rPr>
        <w:t>There are no subjects except by and for their subjection.</w:t>
      </w:r>
      <w:r w:rsidRPr="00417F40">
        <w:rPr>
          <w:rStyle w:val="apple-converted-space"/>
          <w:color w:val="000000"/>
          <w:sz w:val="20"/>
          <w:szCs w:val="20"/>
          <w:shd w:val="clear" w:color="auto" w:fill="FFFFFF"/>
        </w:rPr>
        <w:t> </w:t>
      </w:r>
      <w:r w:rsidRPr="00417F40">
        <w:rPr>
          <w:color w:val="000000"/>
          <w:sz w:val="20"/>
          <w:szCs w:val="20"/>
          <w:shd w:val="clear" w:color="auto" w:fill="FFFFFF"/>
        </w:rPr>
        <w:t xml:space="preserve">That is why they ‘work all by themselves’.” </w:t>
      </w:r>
    </w:p>
  </w:footnote>
  <w:footnote w:id="107">
    <w:p w14:paraId="130B2D40"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Complaint, pp. 2-7</w:t>
      </w:r>
    </w:p>
  </w:footnote>
  <w:footnote w:id="108">
    <w:p w14:paraId="2ED3A659"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Ibid., indents 9, 15</w:t>
      </w:r>
    </w:p>
  </w:footnote>
  <w:footnote w:id="109">
    <w:p w14:paraId="08A183B8"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Ibid., indents 8, 14</w:t>
      </w:r>
    </w:p>
  </w:footnote>
  <w:footnote w:id="110">
    <w:p w14:paraId="3746E616"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w:t>
      </w:r>
      <w:r w:rsidRPr="00417F40">
        <w:rPr>
          <w:sz w:val="20"/>
          <w:szCs w:val="20"/>
          <w:lang w:val="en-GB"/>
        </w:rPr>
        <w:t xml:space="preserve">Final Statement by the UK National Contact Point for the OECD Guidelines for Multinational Enterprises,” </w:t>
      </w:r>
      <w:r w:rsidRPr="00417F40">
        <w:rPr>
          <w:sz w:val="20"/>
          <w:szCs w:val="20"/>
        </w:rPr>
        <w:t xml:space="preserve">UK National Contact Point for the OECD Guidelines for Multinational </w:t>
      </w:r>
    </w:p>
    <w:p w14:paraId="35F5B555" w14:textId="77777777" w:rsidR="00694C5E" w:rsidRPr="00417F40" w:rsidRDefault="00694C5E" w:rsidP="001B0F86">
      <w:pPr>
        <w:pStyle w:val="FootnoteText"/>
        <w:rPr>
          <w:b/>
          <w:sz w:val="20"/>
          <w:szCs w:val="20"/>
          <w:lang w:val="en-GB"/>
        </w:rPr>
      </w:pPr>
      <w:r w:rsidRPr="00417F40">
        <w:rPr>
          <w:sz w:val="20"/>
          <w:szCs w:val="20"/>
        </w:rPr>
        <w:t xml:space="preserve">Enterprises. </w:t>
      </w:r>
      <w:r w:rsidRPr="00417F40">
        <w:rPr>
          <w:sz w:val="20"/>
          <w:szCs w:val="20"/>
          <w:lang w:val="en-GB"/>
        </w:rPr>
        <w:t xml:space="preserve">25 September 2009. Available: </w:t>
      </w:r>
      <w:hyperlink r:id="rId48" w:history="1">
        <w:r w:rsidRPr="00417F40">
          <w:rPr>
            <w:rStyle w:val="Hyperlink"/>
            <w:sz w:val="20"/>
            <w:szCs w:val="20"/>
          </w:rPr>
          <w:t>http://www.berr.gov.uk/files/file53117.doc</w:t>
        </w:r>
      </w:hyperlink>
    </w:p>
  </w:footnote>
  <w:footnote w:id="111">
    <w:p w14:paraId="2E3A4177"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Ibid:</w:t>
      </w:r>
    </w:p>
    <w:p w14:paraId="0BEE45EE" w14:textId="77777777" w:rsidR="00694C5E" w:rsidRPr="00417F40" w:rsidRDefault="00694C5E" w:rsidP="001B0F86">
      <w:pPr>
        <w:pStyle w:val="FootnoteText"/>
        <w:widowControl/>
        <w:numPr>
          <w:ilvl w:val="0"/>
          <w:numId w:val="3"/>
        </w:numPr>
        <w:snapToGrid/>
        <w:rPr>
          <w:sz w:val="20"/>
          <w:szCs w:val="20"/>
        </w:rPr>
      </w:pPr>
      <w:r w:rsidRPr="00417F40">
        <w:rPr>
          <w:sz w:val="20"/>
          <w:szCs w:val="20"/>
        </w:rPr>
        <w:t xml:space="preserve">The UK National Contact Point (NCP) for the OECD Guidelines for Multinational Enterprises (the Guidelines) upholds Survival International’s allegation that Vedanta Resources plc (Vedanta) has not complied with Chapter V(2)(b) of the Guidelines. The UK NCP concludes that Vedanta failed to put in place an adequate and timely consultation mechanism fully to engage the </w:t>
      </w:r>
      <w:proofErr w:type="spellStart"/>
      <w:r w:rsidRPr="00417F40">
        <w:rPr>
          <w:sz w:val="20"/>
          <w:szCs w:val="20"/>
        </w:rPr>
        <w:t>Dongria</w:t>
      </w:r>
      <w:proofErr w:type="spellEnd"/>
      <w:r w:rsidRPr="00417F40">
        <w:rPr>
          <w:sz w:val="20"/>
          <w:szCs w:val="20"/>
        </w:rPr>
        <w:t xml:space="preserve"> </w:t>
      </w:r>
      <w:proofErr w:type="spellStart"/>
      <w:r w:rsidRPr="00417F40">
        <w:rPr>
          <w:sz w:val="20"/>
          <w:szCs w:val="20"/>
        </w:rPr>
        <w:t>Kondh</w:t>
      </w:r>
      <w:proofErr w:type="spellEnd"/>
      <w:r w:rsidRPr="00417F40">
        <w:rPr>
          <w:sz w:val="20"/>
          <w:szCs w:val="20"/>
        </w:rPr>
        <w:t xml:space="preserve">, an indigenous community who would be directly affected by the environmental and health and safety impact of its plans to construct a bauxite mine in the </w:t>
      </w:r>
      <w:proofErr w:type="spellStart"/>
      <w:r w:rsidRPr="00417F40">
        <w:rPr>
          <w:sz w:val="20"/>
          <w:szCs w:val="20"/>
        </w:rPr>
        <w:t>Niyamgiri</w:t>
      </w:r>
      <w:proofErr w:type="spellEnd"/>
      <w:r w:rsidRPr="00417F40">
        <w:rPr>
          <w:sz w:val="20"/>
          <w:szCs w:val="20"/>
        </w:rPr>
        <w:t xml:space="preserve"> Hills, Orissa, India.</w:t>
      </w:r>
    </w:p>
    <w:p w14:paraId="4EFD6AD1" w14:textId="77777777" w:rsidR="00694C5E" w:rsidRPr="00417F40" w:rsidRDefault="00694C5E" w:rsidP="001B0F86">
      <w:pPr>
        <w:pStyle w:val="FootnoteText"/>
        <w:widowControl/>
        <w:numPr>
          <w:ilvl w:val="0"/>
          <w:numId w:val="2"/>
        </w:numPr>
        <w:snapToGrid/>
        <w:rPr>
          <w:sz w:val="20"/>
          <w:szCs w:val="20"/>
        </w:rPr>
      </w:pPr>
      <w:r w:rsidRPr="00417F40">
        <w:rPr>
          <w:sz w:val="20"/>
          <w:szCs w:val="20"/>
        </w:rPr>
        <w:t xml:space="preserve">The UK NCP upholds Survival International’s allegation that Vedanta has not complied with Chapter </w:t>
      </w:r>
      <w:proofErr w:type="gramStart"/>
      <w:r w:rsidRPr="00417F40">
        <w:rPr>
          <w:sz w:val="20"/>
          <w:szCs w:val="20"/>
        </w:rPr>
        <w:t>II(</w:t>
      </w:r>
      <w:proofErr w:type="gramEnd"/>
      <w:r w:rsidRPr="00417F40">
        <w:rPr>
          <w:sz w:val="20"/>
          <w:szCs w:val="20"/>
        </w:rPr>
        <w:t xml:space="preserve">7) of the Guidelines. It concludes that Vedanta failed to engage the </w:t>
      </w:r>
      <w:proofErr w:type="spellStart"/>
      <w:r w:rsidRPr="00417F40">
        <w:rPr>
          <w:sz w:val="20"/>
          <w:szCs w:val="20"/>
        </w:rPr>
        <w:t>Dongria</w:t>
      </w:r>
      <w:proofErr w:type="spellEnd"/>
      <w:r w:rsidRPr="00417F40">
        <w:rPr>
          <w:sz w:val="20"/>
          <w:szCs w:val="20"/>
        </w:rPr>
        <w:t xml:space="preserve"> </w:t>
      </w:r>
      <w:proofErr w:type="spellStart"/>
      <w:r w:rsidRPr="00417F40">
        <w:rPr>
          <w:sz w:val="20"/>
          <w:szCs w:val="20"/>
        </w:rPr>
        <w:t>Kondh</w:t>
      </w:r>
      <w:proofErr w:type="spellEnd"/>
      <w:r w:rsidRPr="00417F40">
        <w:rPr>
          <w:sz w:val="20"/>
          <w:szCs w:val="20"/>
        </w:rPr>
        <w:t xml:space="preserve"> in adequate and timely consultations about the construction of the mine, or to use other mechanisms to assess the implications of its activities on the community such as an indigenous or human rights impact assessment. Vedanta therefore failed to develop and apply effective self-regulatory practices to foster a relationship of confidence and mutual trust between the company and an important constituent of the society in which it was operating.  </w:t>
      </w:r>
    </w:p>
    <w:p w14:paraId="6AF7A5F8" w14:textId="77777777" w:rsidR="00694C5E" w:rsidRPr="00417F40" w:rsidRDefault="00694C5E" w:rsidP="001B0F86">
      <w:pPr>
        <w:pStyle w:val="FootnoteText"/>
        <w:widowControl/>
        <w:numPr>
          <w:ilvl w:val="0"/>
          <w:numId w:val="2"/>
        </w:numPr>
        <w:snapToGrid/>
        <w:rPr>
          <w:sz w:val="20"/>
          <w:szCs w:val="20"/>
        </w:rPr>
      </w:pPr>
      <w:r w:rsidRPr="00417F40">
        <w:rPr>
          <w:sz w:val="20"/>
          <w:szCs w:val="20"/>
        </w:rPr>
        <w:t xml:space="preserve">The UK NCP also upholds Survival International’s allegation that Vedanta has not behaved consistently with Chapter </w:t>
      </w:r>
      <w:proofErr w:type="gramStart"/>
      <w:r w:rsidRPr="00417F40">
        <w:rPr>
          <w:sz w:val="20"/>
          <w:szCs w:val="20"/>
        </w:rPr>
        <w:t>II(</w:t>
      </w:r>
      <w:proofErr w:type="gramEnd"/>
      <w:r w:rsidRPr="00417F40">
        <w:rPr>
          <w:sz w:val="20"/>
          <w:szCs w:val="20"/>
        </w:rPr>
        <w:t xml:space="preserve">2) of the Guidelines.  The UK NCP concludes that Vedanta failed to engage the </w:t>
      </w:r>
      <w:proofErr w:type="spellStart"/>
      <w:r w:rsidRPr="00417F40">
        <w:rPr>
          <w:sz w:val="20"/>
          <w:szCs w:val="20"/>
        </w:rPr>
        <w:t>Dongria</w:t>
      </w:r>
      <w:proofErr w:type="spellEnd"/>
      <w:r w:rsidRPr="00417F40">
        <w:rPr>
          <w:sz w:val="20"/>
          <w:szCs w:val="20"/>
        </w:rPr>
        <w:t xml:space="preserve"> </w:t>
      </w:r>
      <w:proofErr w:type="spellStart"/>
      <w:r w:rsidRPr="00417F40">
        <w:rPr>
          <w:sz w:val="20"/>
          <w:szCs w:val="20"/>
        </w:rPr>
        <w:t>Kondh</w:t>
      </w:r>
      <w:proofErr w:type="spellEnd"/>
      <w:r w:rsidRPr="00417F40">
        <w:rPr>
          <w:sz w:val="20"/>
          <w:szCs w:val="20"/>
        </w:rPr>
        <w:t xml:space="preserve"> in adequate and timely consultations on the construction of the bauxite mine; it did not consider the impact of the construction of the mine on the rights and freedoms of the </w:t>
      </w:r>
      <w:proofErr w:type="spellStart"/>
      <w:r w:rsidRPr="00417F40">
        <w:rPr>
          <w:sz w:val="20"/>
          <w:szCs w:val="20"/>
        </w:rPr>
        <w:t>Dongria</w:t>
      </w:r>
      <w:proofErr w:type="spellEnd"/>
      <w:r w:rsidRPr="00417F40">
        <w:rPr>
          <w:sz w:val="20"/>
          <w:szCs w:val="20"/>
        </w:rPr>
        <w:t xml:space="preserve"> </w:t>
      </w:r>
      <w:proofErr w:type="spellStart"/>
      <w:r w:rsidRPr="00417F40">
        <w:rPr>
          <w:sz w:val="20"/>
          <w:szCs w:val="20"/>
        </w:rPr>
        <w:t>Kondh</w:t>
      </w:r>
      <w:proofErr w:type="spellEnd"/>
      <w:r w:rsidRPr="00417F40">
        <w:rPr>
          <w:sz w:val="20"/>
          <w:szCs w:val="20"/>
        </w:rPr>
        <w:t xml:space="preserve">, or balance the impact against the need to promote the success of the company. For these reasons, Vedanta did not respect the rights and freedoms of the </w:t>
      </w:r>
      <w:proofErr w:type="spellStart"/>
      <w:r w:rsidRPr="00417F40">
        <w:rPr>
          <w:sz w:val="20"/>
          <w:szCs w:val="20"/>
        </w:rPr>
        <w:t>Dongria</w:t>
      </w:r>
      <w:proofErr w:type="spellEnd"/>
      <w:r w:rsidRPr="00417F40">
        <w:rPr>
          <w:sz w:val="20"/>
          <w:szCs w:val="20"/>
        </w:rPr>
        <w:t xml:space="preserve"> </w:t>
      </w:r>
      <w:proofErr w:type="spellStart"/>
      <w:r w:rsidRPr="00417F40">
        <w:rPr>
          <w:sz w:val="20"/>
          <w:szCs w:val="20"/>
        </w:rPr>
        <w:t>Kondh</w:t>
      </w:r>
      <w:proofErr w:type="spellEnd"/>
      <w:r w:rsidRPr="00417F40">
        <w:rPr>
          <w:sz w:val="20"/>
          <w:szCs w:val="20"/>
        </w:rPr>
        <w:t xml:space="preserve"> consistent with India’s commitments under various international human rights instruments, including the UN International Covenant on Civil and Political Rights, the UN Convention on the Elimination of All Forms of Racial Discrimination, the Convention on Biological Diversity and the UN Declaration on the Rights of Indigenous People. </w:t>
      </w:r>
    </w:p>
    <w:p w14:paraId="39A71753" w14:textId="77777777" w:rsidR="00694C5E" w:rsidRPr="00417F40" w:rsidRDefault="00694C5E" w:rsidP="001B0F86">
      <w:pPr>
        <w:pStyle w:val="FootnoteText"/>
        <w:rPr>
          <w:sz w:val="20"/>
          <w:szCs w:val="20"/>
        </w:rPr>
      </w:pPr>
    </w:p>
  </w:footnote>
  <w:footnote w:id="112">
    <w:p w14:paraId="5A36AB49" w14:textId="77777777" w:rsidR="00694C5E" w:rsidRPr="00417F40" w:rsidRDefault="00694C5E" w:rsidP="001B0F86">
      <w:pPr>
        <w:pStyle w:val="FootnoteText"/>
        <w:rPr>
          <w:b/>
          <w:bCs/>
          <w:sz w:val="20"/>
          <w:szCs w:val="20"/>
        </w:rPr>
      </w:pPr>
      <w:r w:rsidRPr="00417F40">
        <w:rPr>
          <w:rStyle w:val="FootnoteReference"/>
          <w:sz w:val="20"/>
          <w:szCs w:val="20"/>
        </w:rPr>
        <w:footnoteRef/>
      </w:r>
      <w:r w:rsidRPr="00417F40">
        <w:rPr>
          <w:sz w:val="20"/>
          <w:szCs w:val="20"/>
        </w:rPr>
        <w:t xml:space="preserve"> See</w:t>
      </w:r>
      <w:r w:rsidRPr="00417F40">
        <w:rPr>
          <w:bCs/>
          <w:sz w:val="20"/>
          <w:szCs w:val="20"/>
        </w:rPr>
        <w:t xml:space="preserve"> UK Department for Business, Innovation &amp; Skills,</w:t>
      </w:r>
      <w:r w:rsidRPr="00417F40">
        <w:rPr>
          <w:sz w:val="20"/>
          <w:szCs w:val="20"/>
        </w:rPr>
        <w:t xml:space="preserve"> “</w:t>
      </w:r>
      <w:r w:rsidRPr="00417F40">
        <w:rPr>
          <w:bCs/>
          <w:sz w:val="20"/>
          <w:szCs w:val="20"/>
        </w:rPr>
        <w:t xml:space="preserve">UK National Contact Point for the </w:t>
      </w:r>
      <w:proofErr w:type="spellStart"/>
      <w:r w:rsidRPr="00417F40">
        <w:rPr>
          <w:bCs/>
          <w:sz w:val="20"/>
          <w:szCs w:val="20"/>
        </w:rPr>
        <w:t>Organisation</w:t>
      </w:r>
      <w:proofErr w:type="spellEnd"/>
      <w:r w:rsidRPr="00417F40">
        <w:rPr>
          <w:bCs/>
          <w:sz w:val="20"/>
          <w:szCs w:val="20"/>
        </w:rPr>
        <w:t xml:space="preserve"> for Economic Co-operation and Development (OECD) guidelines for multinational enterprises” </w:t>
      </w:r>
      <w:hyperlink r:id="rId49" w:anchor="more-like-this" w:history="1">
        <w:r w:rsidRPr="00417F40">
          <w:rPr>
            <w:rStyle w:val="Hyperlink"/>
            <w:bCs/>
            <w:sz w:val="20"/>
            <w:szCs w:val="20"/>
          </w:rPr>
          <w:t>https://www.gov.uk/uk-national-contact-point-for-the-organisation-for-economic-co-operation-and-development-oecd-guidelines-for-multinational-enterprises#more-like-this</w:t>
        </w:r>
      </w:hyperlink>
    </w:p>
    <w:p w14:paraId="7E55EB14" w14:textId="77777777" w:rsidR="00694C5E" w:rsidRPr="00417F40" w:rsidRDefault="00694C5E" w:rsidP="001B0F86">
      <w:pPr>
        <w:pStyle w:val="FootnoteText"/>
        <w:rPr>
          <w:sz w:val="20"/>
          <w:szCs w:val="20"/>
        </w:rPr>
      </w:pPr>
    </w:p>
  </w:footnote>
  <w:footnote w:id="113">
    <w:p w14:paraId="41285D1F" w14:textId="77777777" w:rsidR="00694C5E" w:rsidRPr="00417F40" w:rsidRDefault="00694C5E" w:rsidP="001B0F86">
      <w:pPr>
        <w:pStyle w:val="FootnoteText"/>
        <w:jc w:val="both"/>
        <w:rPr>
          <w:sz w:val="20"/>
          <w:szCs w:val="20"/>
        </w:rPr>
      </w:pPr>
      <w:r w:rsidRPr="00417F40">
        <w:rPr>
          <w:rStyle w:val="FootnoteReference"/>
          <w:sz w:val="20"/>
          <w:szCs w:val="20"/>
        </w:rPr>
        <w:footnoteRef/>
      </w:r>
      <w:r w:rsidRPr="00417F40">
        <w:rPr>
          <w:sz w:val="20"/>
          <w:szCs w:val="20"/>
        </w:rPr>
        <w:t xml:space="preserve"> Amnesty International, “</w:t>
      </w:r>
      <w:proofErr w:type="spellStart"/>
      <w:r w:rsidRPr="00417F40">
        <w:rPr>
          <w:sz w:val="20"/>
          <w:szCs w:val="20"/>
        </w:rPr>
        <w:t>Don’tmineus</w:t>
      </w:r>
      <w:proofErr w:type="spellEnd"/>
      <w:r w:rsidRPr="00417F40">
        <w:rPr>
          <w:sz w:val="20"/>
          <w:szCs w:val="20"/>
        </w:rPr>
        <w:t xml:space="preserve"> </w:t>
      </w:r>
      <w:proofErr w:type="spellStart"/>
      <w:r w:rsidRPr="00417F40">
        <w:rPr>
          <w:sz w:val="20"/>
          <w:szCs w:val="20"/>
        </w:rPr>
        <w:t>Outof</w:t>
      </w:r>
      <w:proofErr w:type="spellEnd"/>
      <w:r w:rsidRPr="00417F40">
        <w:rPr>
          <w:sz w:val="20"/>
          <w:szCs w:val="20"/>
        </w:rPr>
        <w:t xml:space="preserve"> Existence: </w:t>
      </w:r>
      <w:proofErr w:type="spellStart"/>
      <w:r w:rsidRPr="00417F40">
        <w:rPr>
          <w:sz w:val="20"/>
          <w:szCs w:val="20"/>
        </w:rPr>
        <w:t>Bauxitemine</w:t>
      </w:r>
      <w:proofErr w:type="spellEnd"/>
      <w:r w:rsidRPr="00417F40">
        <w:rPr>
          <w:sz w:val="20"/>
          <w:szCs w:val="20"/>
        </w:rPr>
        <w:t xml:space="preserve"> And Refinery Devastate Lives In India.” London: Amnesty International Publications, 2010. Available:  </w:t>
      </w:r>
      <w:hyperlink r:id="rId50" w:history="1">
        <w:r w:rsidRPr="00417F40">
          <w:rPr>
            <w:rStyle w:val="Hyperlink"/>
            <w:sz w:val="20"/>
            <w:szCs w:val="20"/>
          </w:rPr>
          <w:t>http://www.amnesty.org/en/library/asset/ASA20/001/2010/en/0a81a1bc-f50c-4426-9505-7fde6b3382ed/asa200012010en.pdf</w:t>
        </w:r>
      </w:hyperlink>
      <w:r w:rsidRPr="00417F40">
        <w:rPr>
          <w:sz w:val="20"/>
          <w:szCs w:val="20"/>
        </w:rPr>
        <w:t xml:space="preserve"> </w:t>
      </w:r>
    </w:p>
  </w:footnote>
  <w:footnote w:id="114">
    <w:p w14:paraId="448935AB" w14:textId="77777777" w:rsidR="00694C5E" w:rsidRPr="00417F40" w:rsidRDefault="00694C5E" w:rsidP="001B0F86">
      <w:pPr>
        <w:pStyle w:val="FootnoteText"/>
        <w:jc w:val="both"/>
        <w:rPr>
          <w:sz w:val="20"/>
          <w:szCs w:val="20"/>
        </w:rPr>
      </w:pPr>
      <w:r w:rsidRPr="00417F40">
        <w:rPr>
          <w:rStyle w:val="FootnoteReference"/>
          <w:sz w:val="20"/>
          <w:szCs w:val="20"/>
        </w:rPr>
        <w:footnoteRef/>
      </w:r>
      <w:r w:rsidRPr="00417F40">
        <w:rPr>
          <w:sz w:val="20"/>
          <w:szCs w:val="20"/>
        </w:rPr>
        <w:t xml:space="preserve"> N C </w:t>
      </w:r>
      <w:proofErr w:type="spellStart"/>
      <w:r w:rsidRPr="00417F40">
        <w:rPr>
          <w:sz w:val="20"/>
          <w:szCs w:val="20"/>
        </w:rPr>
        <w:t>Saxena</w:t>
      </w:r>
      <w:proofErr w:type="spellEnd"/>
      <w:r w:rsidRPr="00417F40">
        <w:rPr>
          <w:sz w:val="20"/>
          <w:szCs w:val="20"/>
        </w:rPr>
        <w:t xml:space="preserve">, S </w:t>
      </w:r>
      <w:proofErr w:type="spellStart"/>
      <w:r w:rsidRPr="00417F40">
        <w:rPr>
          <w:sz w:val="20"/>
          <w:szCs w:val="20"/>
        </w:rPr>
        <w:t>Parasuraman</w:t>
      </w:r>
      <w:proofErr w:type="spellEnd"/>
      <w:r w:rsidRPr="00417F40">
        <w:rPr>
          <w:sz w:val="20"/>
          <w:szCs w:val="20"/>
        </w:rPr>
        <w:t xml:space="preserve">, </w:t>
      </w:r>
      <w:proofErr w:type="spellStart"/>
      <w:r w:rsidRPr="00417F40">
        <w:rPr>
          <w:sz w:val="20"/>
          <w:szCs w:val="20"/>
        </w:rPr>
        <w:t>Promode</w:t>
      </w:r>
      <w:proofErr w:type="spellEnd"/>
      <w:r w:rsidRPr="00417F40">
        <w:rPr>
          <w:sz w:val="20"/>
          <w:szCs w:val="20"/>
        </w:rPr>
        <w:t xml:space="preserve"> Kant, </w:t>
      </w:r>
      <w:proofErr w:type="spellStart"/>
      <w:r w:rsidRPr="00417F40">
        <w:rPr>
          <w:sz w:val="20"/>
          <w:szCs w:val="20"/>
        </w:rPr>
        <w:t>Amita</w:t>
      </w:r>
      <w:proofErr w:type="spellEnd"/>
      <w:r w:rsidRPr="00417F40">
        <w:rPr>
          <w:sz w:val="20"/>
          <w:szCs w:val="20"/>
        </w:rPr>
        <w:t xml:space="preserve"> </w:t>
      </w:r>
      <w:proofErr w:type="spellStart"/>
      <w:r w:rsidRPr="00417F40">
        <w:rPr>
          <w:sz w:val="20"/>
          <w:szCs w:val="20"/>
        </w:rPr>
        <w:t>Baviskar</w:t>
      </w:r>
      <w:proofErr w:type="spellEnd"/>
      <w:r w:rsidRPr="00417F40">
        <w:rPr>
          <w:sz w:val="20"/>
          <w:szCs w:val="20"/>
        </w:rPr>
        <w:t xml:space="preserve">, “REPORT OF THE FOUR MEMBER COMMITTEE FOR INVESTIGATION INTO THE PROPOSAL SUBMITTED BY THE ORISSA MINING COMPANY FOR BAUXITE  MINING IN NIYAMGIRI,” Ministry of Environment &amp; Forests, </w:t>
      </w:r>
    </w:p>
    <w:p w14:paraId="5EDCBEEE" w14:textId="77777777" w:rsidR="00694C5E" w:rsidRPr="00417F40" w:rsidRDefault="00694C5E" w:rsidP="001B0F86">
      <w:pPr>
        <w:pStyle w:val="FootnoteText"/>
        <w:jc w:val="both"/>
        <w:rPr>
          <w:sz w:val="20"/>
          <w:szCs w:val="20"/>
        </w:rPr>
      </w:pPr>
      <w:proofErr w:type="gramStart"/>
      <w:r w:rsidRPr="00417F40">
        <w:rPr>
          <w:sz w:val="20"/>
          <w:szCs w:val="20"/>
        </w:rPr>
        <w:t>Government of India.</w:t>
      </w:r>
      <w:proofErr w:type="gramEnd"/>
      <w:r w:rsidRPr="00417F40">
        <w:rPr>
          <w:sz w:val="20"/>
          <w:szCs w:val="20"/>
        </w:rPr>
        <w:t xml:space="preserve"> August 16, 2010. Available: </w:t>
      </w:r>
      <w:hyperlink r:id="rId51" w:history="1">
        <w:r w:rsidRPr="00417F40">
          <w:rPr>
            <w:rStyle w:val="Hyperlink"/>
            <w:sz w:val="20"/>
            <w:szCs w:val="20"/>
          </w:rPr>
          <w:t>http://moef.nic.in/downloads/public-information/Saxena_Vedanta.pdf</w:t>
        </w:r>
      </w:hyperlink>
      <w:r w:rsidRPr="00417F40">
        <w:rPr>
          <w:sz w:val="20"/>
          <w:szCs w:val="20"/>
        </w:rPr>
        <w:t xml:space="preserve"> </w:t>
      </w:r>
    </w:p>
  </w:footnote>
  <w:footnote w:id="115">
    <w:p w14:paraId="55959A2F" w14:textId="77777777" w:rsidR="00694C5E" w:rsidRPr="00417F40" w:rsidRDefault="00694C5E" w:rsidP="001B0F86">
      <w:pPr>
        <w:pStyle w:val="FootnoteText"/>
        <w:jc w:val="both"/>
        <w:rPr>
          <w:sz w:val="20"/>
          <w:szCs w:val="20"/>
        </w:rPr>
      </w:pPr>
      <w:r w:rsidRPr="00417F40">
        <w:rPr>
          <w:rStyle w:val="FootnoteReference"/>
          <w:sz w:val="20"/>
          <w:szCs w:val="20"/>
        </w:rPr>
        <w:footnoteRef/>
      </w:r>
      <w:r w:rsidRPr="00417F40">
        <w:rPr>
          <w:sz w:val="20"/>
          <w:szCs w:val="20"/>
        </w:rPr>
        <w:t xml:space="preserve"> Ibid., p.71: “The company is in illegal occupation of 26.123 ha of village forest lands enclosed within the factory premises…This is an act of total contempt for the law on the part of the company and an </w:t>
      </w:r>
      <w:proofErr w:type="spellStart"/>
      <w:r w:rsidRPr="00417F40">
        <w:rPr>
          <w:sz w:val="20"/>
          <w:szCs w:val="20"/>
        </w:rPr>
        <w:t>apalling</w:t>
      </w:r>
      <w:proofErr w:type="spellEnd"/>
      <w:r w:rsidRPr="00417F40">
        <w:rPr>
          <w:sz w:val="20"/>
          <w:szCs w:val="20"/>
        </w:rPr>
        <w:t xml:space="preserve"> degree of collusion on the part of the concerned officials. For the construction of a road running parallel to the conveyor corridor, the company has illegally occupied plot number 157(P) measuring 1.0 acre and plot number 133 measuring 0.11 acres of village forest lands. This act is also similar to the above although the land involved is much smaller in extent.”</w:t>
      </w:r>
    </w:p>
  </w:footnote>
  <w:footnote w:id="116">
    <w:p w14:paraId="6748E23A" w14:textId="77777777" w:rsidR="00694C5E" w:rsidRPr="00417F40" w:rsidRDefault="00694C5E" w:rsidP="001B0F86">
      <w:pPr>
        <w:pStyle w:val="FootnoteText"/>
        <w:jc w:val="both"/>
        <w:rPr>
          <w:sz w:val="20"/>
          <w:szCs w:val="20"/>
        </w:rPr>
      </w:pPr>
      <w:r w:rsidRPr="00417F40">
        <w:rPr>
          <w:rStyle w:val="FootnoteReference"/>
          <w:sz w:val="20"/>
          <w:szCs w:val="20"/>
        </w:rPr>
        <w:footnoteRef/>
      </w:r>
      <w:r w:rsidRPr="00417F40">
        <w:rPr>
          <w:sz w:val="20"/>
          <w:szCs w:val="20"/>
        </w:rPr>
        <w:t xml:space="preserve"> Ibid</w:t>
      </w:r>
      <w:proofErr w:type="gramStart"/>
      <w:r w:rsidRPr="00417F40">
        <w:rPr>
          <w:sz w:val="20"/>
          <w:szCs w:val="20"/>
        </w:rPr>
        <w:t>.,</w:t>
      </w:r>
      <w:proofErr w:type="gramEnd"/>
      <w:r w:rsidRPr="00417F40">
        <w:rPr>
          <w:sz w:val="20"/>
          <w:szCs w:val="20"/>
        </w:rPr>
        <w:t xml:space="preserve"> p.73: “The company M/s Vedanta Alumina Limited has already proceeded with construction activity for its enormous expansion project that would increase its capacity six fold from 1 </w:t>
      </w:r>
      <w:proofErr w:type="spellStart"/>
      <w:r w:rsidRPr="00417F40">
        <w:rPr>
          <w:sz w:val="20"/>
          <w:szCs w:val="20"/>
        </w:rPr>
        <w:t>Mtpa</w:t>
      </w:r>
      <w:proofErr w:type="spellEnd"/>
      <w:r w:rsidRPr="00417F40">
        <w:rPr>
          <w:sz w:val="20"/>
          <w:szCs w:val="20"/>
        </w:rPr>
        <w:t xml:space="preserve"> to 6 </w:t>
      </w:r>
      <w:proofErr w:type="spellStart"/>
      <w:r w:rsidRPr="00417F40">
        <w:rPr>
          <w:sz w:val="20"/>
          <w:szCs w:val="20"/>
        </w:rPr>
        <w:t>Mtpa</w:t>
      </w:r>
      <w:proofErr w:type="spellEnd"/>
      <w:r w:rsidRPr="00417F40">
        <w:rPr>
          <w:sz w:val="20"/>
          <w:szCs w:val="20"/>
        </w:rPr>
        <w:t xml:space="preserve"> without obtaining environmental clearance as per provisions of EIA Notification, 2006 under the EPA. This amounts to a serious violation of the provisions of the Environment (Protection) Act.”</w:t>
      </w:r>
    </w:p>
  </w:footnote>
  <w:footnote w:id="117">
    <w:p w14:paraId="721BAD26"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Ibid</w:t>
      </w:r>
      <w:proofErr w:type="gramStart"/>
      <w:r w:rsidRPr="00417F40">
        <w:rPr>
          <w:sz w:val="20"/>
          <w:szCs w:val="20"/>
        </w:rPr>
        <w:t>.,</w:t>
      </w:r>
      <w:proofErr w:type="gramEnd"/>
      <w:r w:rsidRPr="00417F40">
        <w:rPr>
          <w:sz w:val="20"/>
          <w:szCs w:val="20"/>
        </w:rPr>
        <w:t xml:space="preserve"> p.73: “The concerned area is a schedule V area where PESA is applicable. Thus, in addition to the implementation of FRA, the state government also has to ensure the compliance of the following provisions of PESA: </w:t>
      </w:r>
    </w:p>
    <w:p w14:paraId="2ACE8218" w14:textId="77777777" w:rsidR="00694C5E" w:rsidRPr="00417F40" w:rsidRDefault="00694C5E" w:rsidP="001B0F86">
      <w:pPr>
        <w:pStyle w:val="FootnoteText"/>
        <w:rPr>
          <w:sz w:val="20"/>
          <w:szCs w:val="20"/>
        </w:rPr>
      </w:pPr>
      <w:r w:rsidRPr="00417F40">
        <w:rPr>
          <w:sz w:val="20"/>
          <w:szCs w:val="20"/>
        </w:rPr>
        <w:t xml:space="preserve">Section 4(i): The Gram </w:t>
      </w:r>
      <w:proofErr w:type="spellStart"/>
      <w:r w:rsidRPr="00417F40">
        <w:rPr>
          <w:sz w:val="20"/>
          <w:szCs w:val="20"/>
        </w:rPr>
        <w:t>Sabha</w:t>
      </w:r>
      <w:proofErr w:type="spellEnd"/>
      <w:r w:rsidRPr="00417F40">
        <w:rPr>
          <w:sz w:val="20"/>
          <w:szCs w:val="20"/>
        </w:rPr>
        <w:t xml:space="preserve"> or the Panchayats at the appropriate level shall be consulted before making the acquisition of land in the Scheduled Areas for development projects.</w:t>
      </w:r>
    </w:p>
    <w:p w14:paraId="4F618CCA" w14:textId="77777777" w:rsidR="00694C5E" w:rsidRPr="00417F40" w:rsidRDefault="00694C5E" w:rsidP="001B0F86">
      <w:pPr>
        <w:pStyle w:val="FootnoteText"/>
        <w:rPr>
          <w:sz w:val="20"/>
          <w:szCs w:val="20"/>
        </w:rPr>
      </w:pPr>
      <w:r w:rsidRPr="00417F40">
        <w:rPr>
          <w:sz w:val="20"/>
          <w:szCs w:val="20"/>
        </w:rPr>
        <w:t>section 4(d) : every Gram Sabha shall be competent to safeguard and preserve the traditions and customs of the people, their cultural identity, community resources and the customary mode of dispute resolution;</w:t>
      </w:r>
    </w:p>
    <w:p w14:paraId="6C62F274" w14:textId="77777777" w:rsidR="00694C5E" w:rsidRPr="00417F40" w:rsidRDefault="00694C5E" w:rsidP="001B0F86">
      <w:pPr>
        <w:pStyle w:val="FootnoteText"/>
        <w:rPr>
          <w:sz w:val="20"/>
          <w:szCs w:val="20"/>
        </w:rPr>
      </w:pPr>
      <w:proofErr w:type="gramStart"/>
      <w:r w:rsidRPr="00417F40">
        <w:rPr>
          <w:sz w:val="20"/>
          <w:szCs w:val="20"/>
        </w:rPr>
        <w:t>section</w:t>
      </w:r>
      <w:proofErr w:type="gramEnd"/>
      <w:r w:rsidRPr="00417F40">
        <w:rPr>
          <w:sz w:val="20"/>
          <w:szCs w:val="20"/>
        </w:rPr>
        <w:t xml:space="preserve"> 4(m) (iii), according to which Gram Sabha has the power to prevent alienation of land in the Scheduled Areas and to take appropriate action to restore any unlawfully alienated land of a Scheduled Tribe.”</w:t>
      </w:r>
    </w:p>
  </w:footnote>
  <w:footnote w:id="118">
    <w:p w14:paraId="2AFC3A83"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“David v. Goliath: Indian tribe in ‘stunning’ victory over mining giant,” Survival International, 24 August 2010: </w:t>
      </w:r>
      <w:hyperlink r:id="rId52" w:history="1">
        <w:r w:rsidRPr="00417F40">
          <w:rPr>
            <w:rStyle w:val="Hyperlink"/>
            <w:sz w:val="20"/>
            <w:szCs w:val="20"/>
          </w:rPr>
          <w:t>http://www.survivalinternational.org/news/6385</w:t>
        </w:r>
      </w:hyperlink>
    </w:p>
  </w:footnote>
  <w:footnote w:id="119">
    <w:p w14:paraId="295D7C7F"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“Troubled Vedanta loses appeal for controversial refinery,” Survival International, 21 October 2010: </w:t>
      </w:r>
      <w:hyperlink r:id="rId53" w:history="1">
        <w:r w:rsidRPr="00417F40">
          <w:rPr>
            <w:rStyle w:val="Hyperlink"/>
            <w:sz w:val="20"/>
            <w:szCs w:val="20"/>
          </w:rPr>
          <w:t>http://www.survivalinternational.org/news/6605</w:t>
        </w:r>
      </w:hyperlink>
    </w:p>
  </w:footnote>
  <w:footnote w:id="120">
    <w:p w14:paraId="027DE3DD"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Jason Burke, “Indian tribe's Avatar-like battle against mining firm reaches supreme court,” </w:t>
      </w:r>
      <w:r w:rsidRPr="00417F40">
        <w:rPr>
          <w:i/>
          <w:sz w:val="20"/>
          <w:szCs w:val="20"/>
        </w:rPr>
        <w:t xml:space="preserve">The Guardian, </w:t>
      </w:r>
      <w:r w:rsidRPr="00417F40">
        <w:rPr>
          <w:sz w:val="20"/>
          <w:szCs w:val="20"/>
        </w:rPr>
        <w:t xml:space="preserve">posted April 8, 2012. </w:t>
      </w:r>
      <w:hyperlink r:id="rId54" w:history="1">
        <w:r w:rsidRPr="00417F40">
          <w:rPr>
            <w:rStyle w:val="Hyperlink"/>
            <w:sz w:val="20"/>
            <w:szCs w:val="20"/>
          </w:rPr>
          <w:t>http://www.theguardian.com/world/2012/apr/08/indian-tribe-avatar-supreme-court</w:t>
        </w:r>
      </w:hyperlink>
    </w:p>
  </w:footnote>
  <w:footnote w:id="121">
    <w:p w14:paraId="329B52F4" w14:textId="77777777" w:rsidR="00694C5E" w:rsidRPr="00417F40" w:rsidRDefault="00694C5E" w:rsidP="001B0F86">
      <w:pPr>
        <w:pStyle w:val="FootnoteText"/>
        <w:tabs>
          <w:tab w:val="center" w:pos="4320"/>
        </w:tabs>
        <w:rPr>
          <w:sz w:val="20"/>
          <w:szCs w:val="20"/>
        </w:rPr>
      </w:pPr>
      <w:r w:rsidRPr="00417F40">
        <w:rPr>
          <w:rStyle w:val="FootnoteReference"/>
          <w:sz w:val="20"/>
          <w:szCs w:val="20"/>
        </w:rPr>
        <w:footnoteRef/>
      </w:r>
      <w:r w:rsidRPr="00417F40">
        <w:rPr>
          <w:sz w:val="20"/>
          <w:szCs w:val="20"/>
        </w:rPr>
        <w:t xml:space="preserve"> “Victory: Vedanta to close Orissa </w:t>
      </w:r>
      <w:proofErr w:type="spellStart"/>
      <w:r w:rsidRPr="00417F40">
        <w:rPr>
          <w:sz w:val="20"/>
          <w:szCs w:val="20"/>
        </w:rPr>
        <w:t>refinery.”Survival</w:t>
      </w:r>
      <w:proofErr w:type="spellEnd"/>
      <w:r w:rsidRPr="00417F40">
        <w:rPr>
          <w:sz w:val="20"/>
          <w:szCs w:val="20"/>
        </w:rPr>
        <w:t xml:space="preserve"> International, 13 September 2012:</w:t>
      </w:r>
    </w:p>
    <w:p w14:paraId="0BCA20EE" w14:textId="77777777" w:rsidR="00694C5E" w:rsidRPr="00417F40" w:rsidRDefault="00D4598E" w:rsidP="001B0F86">
      <w:pPr>
        <w:pStyle w:val="FootnoteText"/>
        <w:tabs>
          <w:tab w:val="center" w:pos="4320"/>
        </w:tabs>
        <w:rPr>
          <w:sz w:val="20"/>
          <w:szCs w:val="20"/>
        </w:rPr>
      </w:pPr>
      <w:hyperlink r:id="rId55" w:history="1">
        <w:r w:rsidR="00694C5E" w:rsidRPr="00417F40">
          <w:rPr>
            <w:rStyle w:val="Hyperlink"/>
            <w:sz w:val="20"/>
            <w:szCs w:val="20"/>
          </w:rPr>
          <w:t>http://www.survivalinternational.org/news/8670</w:t>
        </w:r>
      </w:hyperlink>
    </w:p>
  </w:footnote>
  <w:footnote w:id="122">
    <w:p w14:paraId="645DFD1C"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See note 77 above. </w:t>
      </w:r>
    </w:p>
  </w:footnote>
  <w:footnote w:id="123">
    <w:p w14:paraId="04C41349"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Dean Nelson, “Indian villagers defeat British billionaire over plans to mine sacred mountain.” </w:t>
      </w:r>
      <w:r w:rsidRPr="00417F40">
        <w:rPr>
          <w:i/>
          <w:sz w:val="20"/>
          <w:szCs w:val="20"/>
        </w:rPr>
        <w:t xml:space="preserve">The Telegraph, </w:t>
      </w:r>
      <w:r w:rsidRPr="00417F40">
        <w:rPr>
          <w:sz w:val="20"/>
          <w:szCs w:val="20"/>
        </w:rPr>
        <w:t xml:space="preserve">last modified Aug 09, 2013. </w:t>
      </w:r>
      <w:hyperlink r:id="rId56" w:history="1">
        <w:r w:rsidRPr="00417F40">
          <w:rPr>
            <w:rStyle w:val="Hyperlink"/>
            <w:sz w:val="20"/>
            <w:szCs w:val="20"/>
          </w:rPr>
          <w:t>http://www.telegraph.co.uk/news/worldnews/asia/india/10234314/Indian-villagers-defeat-British-billionaire-over-plans-to-mine-sacred-mountain.html</w:t>
        </w:r>
      </w:hyperlink>
    </w:p>
    <w:p w14:paraId="71249183" w14:textId="77777777" w:rsidR="00694C5E" w:rsidRPr="00417F40" w:rsidRDefault="00694C5E" w:rsidP="001B0F86">
      <w:pPr>
        <w:pStyle w:val="FootnoteText"/>
        <w:rPr>
          <w:sz w:val="20"/>
          <w:szCs w:val="20"/>
        </w:rPr>
      </w:pPr>
    </w:p>
  </w:footnote>
  <w:footnote w:id="124">
    <w:p w14:paraId="22EF3F0F" w14:textId="77777777" w:rsidR="00694C5E" w:rsidRPr="00417F40" w:rsidRDefault="00694C5E" w:rsidP="001B0F86">
      <w:pPr>
        <w:pStyle w:val="FootnoteText"/>
        <w:rPr>
          <w:sz w:val="20"/>
          <w:szCs w:val="20"/>
        </w:rPr>
      </w:pPr>
      <w:r w:rsidRPr="00417F40">
        <w:rPr>
          <w:rStyle w:val="FootnoteReference"/>
          <w:sz w:val="20"/>
          <w:szCs w:val="20"/>
        </w:rPr>
        <w:footnoteRef/>
      </w:r>
      <w:r w:rsidRPr="00417F40">
        <w:rPr>
          <w:sz w:val="20"/>
          <w:szCs w:val="20"/>
        </w:rPr>
        <w:t xml:space="preserve"> See “UN ‘Protect, Respect and Remedy’ Framework Guiding Principles”, Business &amp; Human Rights Resource Centre. Available: </w:t>
      </w:r>
      <w:hyperlink r:id="rId57" w:history="1">
        <w:r w:rsidRPr="00417F40">
          <w:rPr>
            <w:rStyle w:val="Hyperlink"/>
            <w:sz w:val="20"/>
            <w:szCs w:val="20"/>
          </w:rPr>
          <w:t>http://www.business-humanrights.org/SpecialRepPortal/Home/Protect-Respect-Remedy-Framework/GuidingPrinciples</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226450"/>
      <w:docPartObj>
        <w:docPartGallery w:val="Page Numbers (Top of Page)"/>
        <w:docPartUnique/>
      </w:docPartObj>
    </w:sdtPr>
    <w:sdtEndPr>
      <w:rPr>
        <w:noProof/>
      </w:rPr>
    </w:sdtEndPr>
    <w:sdtContent>
      <w:p w14:paraId="0E432F2B" w14:textId="77777777" w:rsidR="00694C5E" w:rsidRDefault="00694C5E">
        <w:pPr>
          <w:pStyle w:val="Header"/>
        </w:pPr>
        <w:r>
          <w:fldChar w:fldCharType="begin"/>
        </w:r>
        <w:r>
          <w:instrText xml:space="preserve"> PAGE   \* MERGEFORMAT </w:instrText>
        </w:r>
        <w:r>
          <w:fldChar w:fldCharType="separate"/>
        </w:r>
        <w:r w:rsidR="00D4598E">
          <w:rPr>
            <w:noProof/>
          </w:rPr>
          <w:t>18</w:t>
        </w:r>
        <w:r>
          <w:rPr>
            <w:noProof/>
          </w:rPr>
          <w:fldChar w:fldCharType="end"/>
        </w:r>
        <w:r>
          <w:rPr>
            <w:noProof/>
          </w:rPr>
          <w:t xml:space="preserve"> </w:t>
        </w:r>
        <w:r>
          <w:rPr>
            <w:i/>
            <w:noProof/>
          </w:rPr>
          <w:t>Higher Education in Review</w:t>
        </w:r>
      </w:p>
    </w:sdtContent>
  </w:sdt>
  <w:p w14:paraId="42754848" w14:textId="77777777" w:rsidR="00694C5E" w:rsidRDefault="00694C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0DB0"/>
    <w:multiLevelType w:val="multilevel"/>
    <w:tmpl w:val="AB66F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A202F"/>
    <w:multiLevelType w:val="hybridMultilevel"/>
    <w:tmpl w:val="D6842414"/>
    <w:lvl w:ilvl="0" w:tplc="983839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9A5352"/>
    <w:multiLevelType w:val="hybridMultilevel"/>
    <w:tmpl w:val="6D245B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D15"/>
    <w:rsid w:val="000044E0"/>
    <w:rsid w:val="00066985"/>
    <w:rsid w:val="000A714F"/>
    <w:rsid w:val="000D5F3A"/>
    <w:rsid w:val="00122D3A"/>
    <w:rsid w:val="00180685"/>
    <w:rsid w:val="00186C91"/>
    <w:rsid w:val="001B0F86"/>
    <w:rsid w:val="00214A32"/>
    <w:rsid w:val="002D0492"/>
    <w:rsid w:val="002F3295"/>
    <w:rsid w:val="00331B57"/>
    <w:rsid w:val="00363F08"/>
    <w:rsid w:val="00390ADC"/>
    <w:rsid w:val="003F61FF"/>
    <w:rsid w:val="00417F40"/>
    <w:rsid w:val="00437327"/>
    <w:rsid w:val="0044042E"/>
    <w:rsid w:val="00453546"/>
    <w:rsid w:val="00484415"/>
    <w:rsid w:val="00505AC5"/>
    <w:rsid w:val="00510943"/>
    <w:rsid w:val="005356E6"/>
    <w:rsid w:val="00555A6D"/>
    <w:rsid w:val="00571E55"/>
    <w:rsid w:val="005E7384"/>
    <w:rsid w:val="00634A8B"/>
    <w:rsid w:val="0068017A"/>
    <w:rsid w:val="00694C5E"/>
    <w:rsid w:val="006F0E35"/>
    <w:rsid w:val="0072045A"/>
    <w:rsid w:val="0072798B"/>
    <w:rsid w:val="0078674D"/>
    <w:rsid w:val="007E2A89"/>
    <w:rsid w:val="00835F1A"/>
    <w:rsid w:val="008B6C75"/>
    <w:rsid w:val="008C3619"/>
    <w:rsid w:val="008D62EF"/>
    <w:rsid w:val="008E1C6B"/>
    <w:rsid w:val="009261A8"/>
    <w:rsid w:val="00943A18"/>
    <w:rsid w:val="00960A89"/>
    <w:rsid w:val="00992566"/>
    <w:rsid w:val="009C105C"/>
    <w:rsid w:val="009E61B0"/>
    <w:rsid w:val="00A053A4"/>
    <w:rsid w:val="00A11DD3"/>
    <w:rsid w:val="00A2480B"/>
    <w:rsid w:val="00A47E3A"/>
    <w:rsid w:val="00AB4556"/>
    <w:rsid w:val="00AE2980"/>
    <w:rsid w:val="00AF0514"/>
    <w:rsid w:val="00B415A1"/>
    <w:rsid w:val="00B47312"/>
    <w:rsid w:val="00B84A30"/>
    <w:rsid w:val="00B90D5B"/>
    <w:rsid w:val="00BE5FEE"/>
    <w:rsid w:val="00BF1730"/>
    <w:rsid w:val="00C0349A"/>
    <w:rsid w:val="00C15D46"/>
    <w:rsid w:val="00C303EA"/>
    <w:rsid w:val="00C33E20"/>
    <w:rsid w:val="00C60733"/>
    <w:rsid w:val="00C61C5A"/>
    <w:rsid w:val="00CC60DD"/>
    <w:rsid w:val="00CE285D"/>
    <w:rsid w:val="00D16522"/>
    <w:rsid w:val="00D26281"/>
    <w:rsid w:val="00D4598E"/>
    <w:rsid w:val="00D56202"/>
    <w:rsid w:val="00D622CB"/>
    <w:rsid w:val="00D80DE7"/>
    <w:rsid w:val="00E52BF4"/>
    <w:rsid w:val="00EA2AFD"/>
    <w:rsid w:val="00ED5A3B"/>
    <w:rsid w:val="00ED7C7C"/>
    <w:rsid w:val="00EF7A50"/>
    <w:rsid w:val="00F31F19"/>
    <w:rsid w:val="00F34D15"/>
    <w:rsid w:val="00F42726"/>
    <w:rsid w:val="00F542D7"/>
    <w:rsid w:val="00F73B2E"/>
    <w:rsid w:val="00F9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4D15"/>
    <w:pPr>
      <w:spacing w:after="0" w:line="276" w:lineRule="auto"/>
    </w:pPr>
    <w:rPr>
      <w:rFonts w:ascii="Arial" w:eastAsia="Arial" w:hAnsi="Arial" w:cs="Arial"/>
      <w:color w:val="000000"/>
      <w:szCs w:val="20"/>
    </w:rPr>
  </w:style>
  <w:style w:type="paragraph" w:styleId="Heading1">
    <w:name w:val="heading 1"/>
    <w:basedOn w:val="Normal"/>
    <w:next w:val="Normal"/>
    <w:link w:val="Heading1Char"/>
    <w:uiPriority w:val="9"/>
    <w:qFormat/>
    <w:rsid w:val="00F542D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D15"/>
    <w:pPr>
      <w:tabs>
        <w:tab w:val="center" w:pos="4680"/>
        <w:tab w:val="right" w:pos="9360"/>
      </w:tabs>
      <w:spacing w:line="240" w:lineRule="auto"/>
    </w:pPr>
  </w:style>
  <w:style w:type="character" w:customStyle="1" w:styleId="HeaderChar">
    <w:name w:val="Header Char"/>
    <w:basedOn w:val="DefaultParagraphFont"/>
    <w:link w:val="Header"/>
    <w:uiPriority w:val="99"/>
    <w:rsid w:val="00F34D15"/>
    <w:rPr>
      <w:rFonts w:ascii="Arial" w:eastAsia="Arial" w:hAnsi="Arial" w:cs="Arial"/>
      <w:color w:val="000000"/>
      <w:szCs w:val="20"/>
    </w:rPr>
  </w:style>
  <w:style w:type="paragraph" w:styleId="Footer">
    <w:name w:val="footer"/>
    <w:basedOn w:val="Normal"/>
    <w:link w:val="FooterChar"/>
    <w:uiPriority w:val="99"/>
    <w:unhideWhenUsed/>
    <w:rsid w:val="00F34D15"/>
    <w:pPr>
      <w:tabs>
        <w:tab w:val="center" w:pos="4680"/>
        <w:tab w:val="right" w:pos="9360"/>
      </w:tabs>
      <w:spacing w:line="240" w:lineRule="auto"/>
    </w:pPr>
  </w:style>
  <w:style w:type="character" w:customStyle="1" w:styleId="FooterChar">
    <w:name w:val="Footer Char"/>
    <w:basedOn w:val="DefaultParagraphFont"/>
    <w:link w:val="Footer"/>
    <w:uiPriority w:val="99"/>
    <w:rsid w:val="00F34D15"/>
    <w:rPr>
      <w:rFonts w:ascii="Arial" w:eastAsia="Arial" w:hAnsi="Arial" w:cs="Arial"/>
      <w:color w:val="000000"/>
      <w:szCs w:val="20"/>
    </w:rPr>
  </w:style>
  <w:style w:type="character" w:styleId="Hyperlink">
    <w:name w:val="Hyperlink"/>
    <w:basedOn w:val="DefaultParagraphFont"/>
    <w:uiPriority w:val="99"/>
    <w:unhideWhenUsed/>
    <w:rsid w:val="00ED7C7C"/>
    <w:rPr>
      <w:color w:val="0563C1" w:themeColor="hyperlink"/>
      <w:u w:val="single"/>
    </w:rPr>
  </w:style>
  <w:style w:type="character" w:styleId="FollowedHyperlink">
    <w:name w:val="FollowedHyperlink"/>
    <w:basedOn w:val="DefaultParagraphFont"/>
    <w:uiPriority w:val="99"/>
    <w:semiHidden/>
    <w:unhideWhenUsed/>
    <w:rsid w:val="00ED7C7C"/>
    <w:rPr>
      <w:color w:val="954F72" w:themeColor="followedHyperlink"/>
      <w:u w:val="single"/>
    </w:rPr>
  </w:style>
  <w:style w:type="paragraph" w:customStyle="1" w:styleId="Default">
    <w:name w:val="Default"/>
    <w:rsid w:val="008B6C75"/>
    <w:pPr>
      <w:autoSpaceDE w:val="0"/>
      <w:autoSpaceDN w:val="0"/>
      <w:adjustRightInd w:val="0"/>
      <w:spacing w:after="0" w:line="240" w:lineRule="auto"/>
    </w:pPr>
    <w:rPr>
      <w:rFonts w:ascii="Brill" w:hAnsi="Brill" w:cs="Brill"/>
      <w:color w:val="000000"/>
      <w:sz w:val="24"/>
      <w:szCs w:val="24"/>
    </w:rPr>
  </w:style>
  <w:style w:type="paragraph" w:styleId="FootnoteText">
    <w:name w:val="footnote text"/>
    <w:basedOn w:val="Normal"/>
    <w:link w:val="FootnoteTextChar"/>
    <w:uiPriority w:val="99"/>
    <w:unhideWhenUsed/>
    <w:rsid w:val="00835F1A"/>
    <w:pPr>
      <w:widowControl w:val="0"/>
      <w:snapToGrid w:val="0"/>
      <w:spacing w:line="240" w:lineRule="auto"/>
    </w:pPr>
    <w:rPr>
      <w:rFonts w:ascii="Times New Roman" w:eastAsia="宋体" w:hAnsi="Times New Roman" w:cs="Times New Roman"/>
      <w:color w:val="auto"/>
      <w:kern w:val="2"/>
      <w:sz w:val="18"/>
      <w:szCs w:val="18"/>
      <w:lang w:eastAsia="zh-CN"/>
    </w:rPr>
  </w:style>
  <w:style w:type="character" w:customStyle="1" w:styleId="FootnoteTextChar">
    <w:name w:val="Footnote Text Char"/>
    <w:basedOn w:val="DefaultParagraphFont"/>
    <w:link w:val="FootnoteText"/>
    <w:uiPriority w:val="99"/>
    <w:rsid w:val="00835F1A"/>
    <w:rPr>
      <w:rFonts w:ascii="Times New Roman" w:eastAsia="宋体" w:hAnsi="Times New Roman" w:cs="Times New Roman"/>
      <w:kern w:val="2"/>
      <w:sz w:val="18"/>
      <w:szCs w:val="18"/>
      <w:lang w:eastAsia="zh-CN"/>
    </w:rPr>
  </w:style>
  <w:style w:type="character" w:styleId="FootnoteReference">
    <w:name w:val="footnote reference"/>
    <w:basedOn w:val="DefaultParagraphFont"/>
    <w:uiPriority w:val="99"/>
    <w:unhideWhenUsed/>
    <w:rsid w:val="00835F1A"/>
    <w:rPr>
      <w:vertAlign w:val="superscript"/>
    </w:rPr>
  </w:style>
  <w:style w:type="paragraph" w:styleId="NormalWeb">
    <w:name w:val="Normal (Web)"/>
    <w:basedOn w:val="Normal"/>
    <w:uiPriority w:val="99"/>
    <w:unhideWhenUsed/>
    <w:rsid w:val="00C60733"/>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customStyle="1" w:styleId="Heading1Char">
    <w:name w:val="Heading 1 Char"/>
    <w:basedOn w:val="DefaultParagraphFont"/>
    <w:link w:val="Heading1"/>
    <w:uiPriority w:val="9"/>
    <w:rsid w:val="00F542D7"/>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B415A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415A1"/>
    <w:rPr>
      <w:rFonts w:asciiTheme="majorHAnsi" w:eastAsiaTheme="majorEastAsia" w:hAnsiTheme="majorHAnsi" w:cstheme="majorBidi"/>
      <w:color w:val="323E4F" w:themeColor="text2" w:themeShade="BF"/>
      <w:spacing w:val="5"/>
      <w:kern w:val="28"/>
      <w:sz w:val="52"/>
      <w:szCs w:val="52"/>
    </w:rPr>
  </w:style>
  <w:style w:type="paragraph" w:styleId="EndnoteText">
    <w:name w:val="endnote text"/>
    <w:basedOn w:val="Normal"/>
    <w:link w:val="EndnoteTextChar"/>
    <w:uiPriority w:val="99"/>
    <w:semiHidden/>
    <w:unhideWhenUsed/>
    <w:rsid w:val="00B415A1"/>
    <w:pPr>
      <w:spacing w:line="240" w:lineRule="auto"/>
    </w:pPr>
    <w:rPr>
      <w:sz w:val="20"/>
    </w:rPr>
  </w:style>
  <w:style w:type="character" w:customStyle="1" w:styleId="EndnoteTextChar">
    <w:name w:val="Endnote Text Char"/>
    <w:basedOn w:val="DefaultParagraphFont"/>
    <w:link w:val="EndnoteText"/>
    <w:uiPriority w:val="99"/>
    <w:semiHidden/>
    <w:rsid w:val="00B415A1"/>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B415A1"/>
    <w:rPr>
      <w:vertAlign w:val="superscript"/>
    </w:rPr>
  </w:style>
  <w:style w:type="character" w:customStyle="1" w:styleId="apple-converted-space">
    <w:name w:val="apple-converted-space"/>
    <w:basedOn w:val="DefaultParagraphFont"/>
    <w:rsid w:val="00B90D5B"/>
  </w:style>
  <w:style w:type="paragraph" w:styleId="Quote">
    <w:name w:val="Quote"/>
    <w:basedOn w:val="Normal"/>
    <w:next w:val="Normal"/>
    <w:link w:val="QuoteChar"/>
    <w:uiPriority w:val="29"/>
    <w:qFormat/>
    <w:rsid w:val="00122D3A"/>
    <w:pPr>
      <w:spacing w:after="200"/>
    </w:pPr>
    <w:rPr>
      <w:rFonts w:ascii="Times New Roman" w:eastAsiaTheme="minorEastAsia" w:hAnsi="Times New Roman" w:cstheme="minorBidi"/>
      <w:i/>
      <w:iCs/>
      <w:color w:val="000000" w:themeColor="text1"/>
      <w:sz w:val="24"/>
      <w:szCs w:val="22"/>
      <w:lang w:eastAsia="zh-CN"/>
    </w:rPr>
  </w:style>
  <w:style w:type="character" w:customStyle="1" w:styleId="QuoteChar">
    <w:name w:val="Quote Char"/>
    <w:basedOn w:val="DefaultParagraphFont"/>
    <w:link w:val="Quote"/>
    <w:uiPriority w:val="29"/>
    <w:rsid w:val="00122D3A"/>
    <w:rPr>
      <w:rFonts w:ascii="Times New Roman" w:hAnsi="Times New Roman"/>
      <w:i/>
      <w:iCs/>
      <w:color w:val="000000" w:themeColor="text1"/>
      <w:sz w:val="24"/>
      <w:lang w:eastAsia="zh-CN"/>
    </w:rPr>
  </w:style>
  <w:style w:type="character" w:styleId="Emphasis">
    <w:name w:val="Emphasis"/>
    <w:basedOn w:val="DefaultParagraphFont"/>
    <w:uiPriority w:val="20"/>
    <w:qFormat/>
    <w:rsid w:val="001B0F8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4D15"/>
    <w:pPr>
      <w:spacing w:after="0" w:line="276" w:lineRule="auto"/>
    </w:pPr>
    <w:rPr>
      <w:rFonts w:ascii="Arial" w:eastAsia="Arial" w:hAnsi="Arial" w:cs="Arial"/>
      <w:color w:val="000000"/>
      <w:szCs w:val="20"/>
    </w:rPr>
  </w:style>
  <w:style w:type="paragraph" w:styleId="Heading1">
    <w:name w:val="heading 1"/>
    <w:basedOn w:val="Normal"/>
    <w:next w:val="Normal"/>
    <w:link w:val="Heading1Char"/>
    <w:uiPriority w:val="9"/>
    <w:qFormat/>
    <w:rsid w:val="00F542D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D15"/>
    <w:pPr>
      <w:tabs>
        <w:tab w:val="center" w:pos="4680"/>
        <w:tab w:val="right" w:pos="9360"/>
      </w:tabs>
      <w:spacing w:line="240" w:lineRule="auto"/>
    </w:pPr>
  </w:style>
  <w:style w:type="character" w:customStyle="1" w:styleId="HeaderChar">
    <w:name w:val="Header Char"/>
    <w:basedOn w:val="DefaultParagraphFont"/>
    <w:link w:val="Header"/>
    <w:uiPriority w:val="99"/>
    <w:rsid w:val="00F34D15"/>
    <w:rPr>
      <w:rFonts w:ascii="Arial" w:eastAsia="Arial" w:hAnsi="Arial" w:cs="Arial"/>
      <w:color w:val="000000"/>
      <w:szCs w:val="20"/>
    </w:rPr>
  </w:style>
  <w:style w:type="paragraph" w:styleId="Footer">
    <w:name w:val="footer"/>
    <w:basedOn w:val="Normal"/>
    <w:link w:val="FooterChar"/>
    <w:uiPriority w:val="99"/>
    <w:unhideWhenUsed/>
    <w:rsid w:val="00F34D15"/>
    <w:pPr>
      <w:tabs>
        <w:tab w:val="center" w:pos="4680"/>
        <w:tab w:val="right" w:pos="9360"/>
      </w:tabs>
      <w:spacing w:line="240" w:lineRule="auto"/>
    </w:pPr>
  </w:style>
  <w:style w:type="character" w:customStyle="1" w:styleId="FooterChar">
    <w:name w:val="Footer Char"/>
    <w:basedOn w:val="DefaultParagraphFont"/>
    <w:link w:val="Footer"/>
    <w:uiPriority w:val="99"/>
    <w:rsid w:val="00F34D15"/>
    <w:rPr>
      <w:rFonts w:ascii="Arial" w:eastAsia="Arial" w:hAnsi="Arial" w:cs="Arial"/>
      <w:color w:val="000000"/>
      <w:szCs w:val="20"/>
    </w:rPr>
  </w:style>
  <w:style w:type="character" w:styleId="Hyperlink">
    <w:name w:val="Hyperlink"/>
    <w:basedOn w:val="DefaultParagraphFont"/>
    <w:uiPriority w:val="99"/>
    <w:unhideWhenUsed/>
    <w:rsid w:val="00ED7C7C"/>
    <w:rPr>
      <w:color w:val="0563C1" w:themeColor="hyperlink"/>
      <w:u w:val="single"/>
    </w:rPr>
  </w:style>
  <w:style w:type="character" w:styleId="FollowedHyperlink">
    <w:name w:val="FollowedHyperlink"/>
    <w:basedOn w:val="DefaultParagraphFont"/>
    <w:uiPriority w:val="99"/>
    <w:semiHidden/>
    <w:unhideWhenUsed/>
    <w:rsid w:val="00ED7C7C"/>
    <w:rPr>
      <w:color w:val="954F72" w:themeColor="followedHyperlink"/>
      <w:u w:val="single"/>
    </w:rPr>
  </w:style>
  <w:style w:type="paragraph" w:customStyle="1" w:styleId="Default">
    <w:name w:val="Default"/>
    <w:rsid w:val="008B6C75"/>
    <w:pPr>
      <w:autoSpaceDE w:val="0"/>
      <w:autoSpaceDN w:val="0"/>
      <w:adjustRightInd w:val="0"/>
      <w:spacing w:after="0" w:line="240" w:lineRule="auto"/>
    </w:pPr>
    <w:rPr>
      <w:rFonts w:ascii="Brill" w:hAnsi="Brill" w:cs="Brill"/>
      <w:color w:val="000000"/>
      <w:sz w:val="24"/>
      <w:szCs w:val="24"/>
    </w:rPr>
  </w:style>
  <w:style w:type="paragraph" w:styleId="FootnoteText">
    <w:name w:val="footnote text"/>
    <w:basedOn w:val="Normal"/>
    <w:link w:val="FootnoteTextChar"/>
    <w:uiPriority w:val="99"/>
    <w:unhideWhenUsed/>
    <w:rsid w:val="00835F1A"/>
    <w:pPr>
      <w:widowControl w:val="0"/>
      <w:snapToGrid w:val="0"/>
      <w:spacing w:line="240" w:lineRule="auto"/>
    </w:pPr>
    <w:rPr>
      <w:rFonts w:ascii="Times New Roman" w:eastAsia="宋体" w:hAnsi="Times New Roman" w:cs="Times New Roman"/>
      <w:color w:val="auto"/>
      <w:kern w:val="2"/>
      <w:sz w:val="18"/>
      <w:szCs w:val="18"/>
      <w:lang w:eastAsia="zh-CN"/>
    </w:rPr>
  </w:style>
  <w:style w:type="character" w:customStyle="1" w:styleId="FootnoteTextChar">
    <w:name w:val="Footnote Text Char"/>
    <w:basedOn w:val="DefaultParagraphFont"/>
    <w:link w:val="FootnoteText"/>
    <w:uiPriority w:val="99"/>
    <w:rsid w:val="00835F1A"/>
    <w:rPr>
      <w:rFonts w:ascii="Times New Roman" w:eastAsia="宋体" w:hAnsi="Times New Roman" w:cs="Times New Roman"/>
      <w:kern w:val="2"/>
      <w:sz w:val="18"/>
      <w:szCs w:val="18"/>
      <w:lang w:eastAsia="zh-CN"/>
    </w:rPr>
  </w:style>
  <w:style w:type="character" w:styleId="FootnoteReference">
    <w:name w:val="footnote reference"/>
    <w:basedOn w:val="DefaultParagraphFont"/>
    <w:uiPriority w:val="99"/>
    <w:unhideWhenUsed/>
    <w:rsid w:val="00835F1A"/>
    <w:rPr>
      <w:vertAlign w:val="superscript"/>
    </w:rPr>
  </w:style>
  <w:style w:type="paragraph" w:styleId="NormalWeb">
    <w:name w:val="Normal (Web)"/>
    <w:basedOn w:val="Normal"/>
    <w:uiPriority w:val="99"/>
    <w:unhideWhenUsed/>
    <w:rsid w:val="00C60733"/>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customStyle="1" w:styleId="Heading1Char">
    <w:name w:val="Heading 1 Char"/>
    <w:basedOn w:val="DefaultParagraphFont"/>
    <w:link w:val="Heading1"/>
    <w:uiPriority w:val="9"/>
    <w:rsid w:val="00F542D7"/>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B415A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415A1"/>
    <w:rPr>
      <w:rFonts w:asciiTheme="majorHAnsi" w:eastAsiaTheme="majorEastAsia" w:hAnsiTheme="majorHAnsi" w:cstheme="majorBidi"/>
      <w:color w:val="323E4F" w:themeColor="text2" w:themeShade="BF"/>
      <w:spacing w:val="5"/>
      <w:kern w:val="28"/>
      <w:sz w:val="52"/>
      <w:szCs w:val="52"/>
    </w:rPr>
  </w:style>
  <w:style w:type="paragraph" w:styleId="EndnoteText">
    <w:name w:val="endnote text"/>
    <w:basedOn w:val="Normal"/>
    <w:link w:val="EndnoteTextChar"/>
    <w:uiPriority w:val="99"/>
    <w:semiHidden/>
    <w:unhideWhenUsed/>
    <w:rsid w:val="00B415A1"/>
    <w:pPr>
      <w:spacing w:line="240" w:lineRule="auto"/>
    </w:pPr>
    <w:rPr>
      <w:sz w:val="20"/>
    </w:rPr>
  </w:style>
  <w:style w:type="character" w:customStyle="1" w:styleId="EndnoteTextChar">
    <w:name w:val="Endnote Text Char"/>
    <w:basedOn w:val="DefaultParagraphFont"/>
    <w:link w:val="EndnoteText"/>
    <w:uiPriority w:val="99"/>
    <w:semiHidden/>
    <w:rsid w:val="00B415A1"/>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B415A1"/>
    <w:rPr>
      <w:vertAlign w:val="superscript"/>
    </w:rPr>
  </w:style>
  <w:style w:type="character" w:customStyle="1" w:styleId="apple-converted-space">
    <w:name w:val="apple-converted-space"/>
    <w:basedOn w:val="DefaultParagraphFont"/>
    <w:rsid w:val="00B90D5B"/>
  </w:style>
  <w:style w:type="paragraph" w:styleId="Quote">
    <w:name w:val="Quote"/>
    <w:basedOn w:val="Normal"/>
    <w:next w:val="Normal"/>
    <w:link w:val="QuoteChar"/>
    <w:uiPriority w:val="29"/>
    <w:qFormat/>
    <w:rsid w:val="00122D3A"/>
    <w:pPr>
      <w:spacing w:after="200"/>
    </w:pPr>
    <w:rPr>
      <w:rFonts w:ascii="Times New Roman" w:eastAsiaTheme="minorEastAsia" w:hAnsi="Times New Roman" w:cstheme="minorBidi"/>
      <w:i/>
      <w:iCs/>
      <w:color w:val="000000" w:themeColor="text1"/>
      <w:sz w:val="24"/>
      <w:szCs w:val="22"/>
      <w:lang w:eastAsia="zh-CN"/>
    </w:rPr>
  </w:style>
  <w:style w:type="character" w:customStyle="1" w:styleId="QuoteChar">
    <w:name w:val="Quote Char"/>
    <w:basedOn w:val="DefaultParagraphFont"/>
    <w:link w:val="Quote"/>
    <w:uiPriority w:val="29"/>
    <w:rsid w:val="00122D3A"/>
    <w:rPr>
      <w:rFonts w:ascii="Times New Roman" w:hAnsi="Times New Roman"/>
      <w:i/>
      <w:iCs/>
      <w:color w:val="000000" w:themeColor="text1"/>
      <w:sz w:val="24"/>
      <w:lang w:eastAsia="zh-CN"/>
    </w:rPr>
  </w:style>
  <w:style w:type="character" w:styleId="Emphasis">
    <w:name w:val="Emphasis"/>
    <w:basedOn w:val="DefaultParagraphFont"/>
    <w:uiPriority w:val="20"/>
    <w:qFormat/>
    <w:rsid w:val="001B0F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94994">
      <w:bodyDiv w:val="1"/>
      <w:marLeft w:val="0"/>
      <w:marRight w:val="0"/>
      <w:marTop w:val="0"/>
      <w:marBottom w:val="0"/>
      <w:divBdr>
        <w:top w:val="none" w:sz="0" w:space="0" w:color="auto"/>
        <w:left w:val="none" w:sz="0" w:space="0" w:color="auto"/>
        <w:bottom w:val="none" w:sz="0" w:space="0" w:color="auto"/>
        <w:right w:val="none" w:sz="0" w:space="0" w:color="auto"/>
      </w:divBdr>
    </w:div>
    <w:div w:id="402484205">
      <w:bodyDiv w:val="1"/>
      <w:marLeft w:val="0"/>
      <w:marRight w:val="0"/>
      <w:marTop w:val="0"/>
      <w:marBottom w:val="0"/>
      <w:divBdr>
        <w:top w:val="none" w:sz="0" w:space="0" w:color="auto"/>
        <w:left w:val="none" w:sz="0" w:space="0" w:color="auto"/>
        <w:bottom w:val="none" w:sz="0" w:space="0" w:color="auto"/>
        <w:right w:val="none" w:sz="0" w:space="0" w:color="auto"/>
      </w:divBdr>
    </w:div>
    <w:div w:id="512232882">
      <w:bodyDiv w:val="1"/>
      <w:marLeft w:val="0"/>
      <w:marRight w:val="0"/>
      <w:marTop w:val="0"/>
      <w:marBottom w:val="0"/>
      <w:divBdr>
        <w:top w:val="none" w:sz="0" w:space="0" w:color="auto"/>
        <w:left w:val="none" w:sz="0" w:space="0" w:color="auto"/>
        <w:bottom w:val="none" w:sz="0" w:space="0" w:color="auto"/>
        <w:right w:val="none" w:sz="0" w:space="0" w:color="auto"/>
      </w:divBdr>
    </w:div>
    <w:div w:id="743994201">
      <w:bodyDiv w:val="1"/>
      <w:marLeft w:val="0"/>
      <w:marRight w:val="0"/>
      <w:marTop w:val="0"/>
      <w:marBottom w:val="0"/>
      <w:divBdr>
        <w:top w:val="none" w:sz="0" w:space="0" w:color="auto"/>
        <w:left w:val="none" w:sz="0" w:space="0" w:color="auto"/>
        <w:bottom w:val="none" w:sz="0" w:space="0" w:color="auto"/>
        <w:right w:val="none" w:sz="0" w:space="0" w:color="auto"/>
      </w:divBdr>
    </w:div>
    <w:div w:id="817184411">
      <w:bodyDiv w:val="1"/>
      <w:marLeft w:val="0"/>
      <w:marRight w:val="0"/>
      <w:marTop w:val="0"/>
      <w:marBottom w:val="0"/>
      <w:divBdr>
        <w:top w:val="none" w:sz="0" w:space="0" w:color="auto"/>
        <w:left w:val="none" w:sz="0" w:space="0" w:color="auto"/>
        <w:bottom w:val="none" w:sz="0" w:space="0" w:color="auto"/>
        <w:right w:val="none" w:sz="0" w:space="0" w:color="auto"/>
      </w:divBdr>
    </w:div>
    <w:div w:id="947811004">
      <w:bodyDiv w:val="1"/>
      <w:marLeft w:val="0"/>
      <w:marRight w:val="0"/>
      <w:marTop w:val="0"/>
      <w:marBottom w:val="0"/>
      <w:divBdr>
        <w:top w:val="none" w:sz="0" w:space="0" w:color="auto"/>
        <w:left w:val="none" w:sz="0" w:space="0" w:color="auto"/>
        <w:bottom w:val="none" w:sz="0" w:space="0" w:color="auto"/>
        <w:right w:val="none" w:sz="0" w:space="0" w:color="auto"/>
      </w:divBdr>
    </w:div>
    <w:div w:id="1167869780">
      <w:bodyDiv w:val="1"/>
      <w:marLeft w:val="0"/>
      <w:marRight w:val="0"/>
      <w:marTop w:val="0"/>
      <w:marBottom w:val="0"/>
      <w:divBdr>
        <w:top w:val="none" w:sz="0" w:space="0" w:color="auto"/>
        <w:left w:val="none" w:sz="0" w:space="0" w:color="auto"/>
        <w:bottom w:val="none" w:sz="0" w:space="0" w:color="auto"/>
        <w:right w:val="none" w:sz="0" w:space="0" w:color="auto"/>
      </w:divBdr>
    </w:div>
    <w:div w:id="1168131717">
      <w:bodyDiv w:val="1"/>
      <w:marLeft w:val="0"/>
      <w:marRight w:val="0"/>
      <w:marTop w:val="0"/>
      <w:marBottom w:val="0"/>
      <w:divBdr>
        <w:top w:val="none" w:sz="0" w:space="0" w:color="auto"/>
        <w:left w:val="none" w:sz="0" w:space="0" w:color="auto"/>
        <w:bottom w:val="none" w:sz="0" w:space="0" w:color="auto"/>
        <w:right w:val="none" w:sz="0" w:space="0" w:color="auto"/>
      </w:divBdr>
    </w:div>
    <w:div w:id="1496605142">
      <w:bodyDiv w:val="1"/>
      <w:marLeft w:val="0"/>
      <w:marRight w:val="0"/>
      <w:marTop w:val="0"/>
      <w:marBottom w:val="0"/>
      <w:divBdr>
        <w:top w:val="none" w:sz="0" w:space="0" w:color="auto"/>
        <w:left w:val="none" w:sz="0" w:space="0" w:color="auto"/>
        <w:bottom w:val="none" w:sz="0" w:space="0" w:color="auto"/>
        <w:right w:val="none" w:sz="0" w:space="0" w:color="auto"/>
      </w:divBdr>
    </w:div>
    <w:div w:id="1584022613">
      <w:bodyDiv w:val="1"/>
      <w:marLeft w:val="0"/>
      <w:marRight w:val="0"/>
      <w:marTop w:val="0"/>
      <w:marBottom w:val="0"/>
      <w:divBdr>
        <w:top w:val="none" w:sz="0" w:space="0" w:color="auto"/>
        <w:left w:val="none" w:sz="0" w:space="0" w:color="auto"/>
        <w:bottom w:val="none" w:sz="0" w:space="0" w:color="auto"/>
        <w:right w:val="none" w:sz="0" w:space="0" w:color="auto"/>
      </w:divBdr>
    </w:div>
    <w:div w:id="1843887842">
      <w:bodyDiv w:val="1"/>
      <w:marLeft w:val="0"/>
      <w:marRight w:val="0"/>
      <w:marTop w:val="0"/>
      <w:marBottom w:val="0"/>
      <w:divBdr>
        <w:top w:val="none" w:sz="0" w:space="0" w:color="auto"/>
        <w:left w:val="none" w:sz="0" w:space="0" w:color="auto"/>
        <w:bottom w:val="none" w:sz="0" w:space="0" w:color="auto"/>
        <w:right w:val="none" w:sz="0" w:space="0" w:color="auto"/>
      </w:divBdr>
    </w:div>
    <w:div w:id="1862426282">
      <w:bodyDiv w:val="1"/>
      <w:marLeft w:val="0"/>
      <w:marRight w:val="0"/>
      <w:marTop w:val="0"/>
      <w:marBottom w:val="0"/>
      <w:divBdr>
        <w:top w:val="none" w:sz="0" w:space="0" w:color="auto"/>
        <w:left w:val="none" w:sz="0" w:space="0" w:color="auto"/>
        <w:bottom w:val="none" w:sz="0" w:space="0" w:color="auto"/>
        <w:right w:val="none" w:sz="0" w:space="0" w:color="auto"/>
      </w:divBdr>
    </w:div>
    <w:div w:id="1931621699">
      <w:bodyDiv w:val="1"/>
      <w:marLeft w:val="0"/>
      <w:marRight w:val="0"/>
      <w:marTop w:val="0"/>
      <w:marBottom w:val="0"/>
      <w:divBdr>
        <w:top w:val="none" w:sz="0" w:space="0" w:color="auto"/>
        <w:left w:val="none" w:sz="0" w:space="0" w:color="auto"/>
        <w:bottom w:val="none" w:sz="0" w:space="0" w:color="auto"/>
        <w:right w:val="none" w:sz="0" w:space="0" w:color="auto"/>
      </w:divBdr>
      <w:divsChild>
        <w:div w:id="1148204590">
          <w:marLeft w:val="0"/>
          <w:marRight w:val="0"/>
          <w:marTop w:val="0"/>
          <w:marBottom w:val="0"/>
          <w:divBdr>
            <w:top w:val="none" w:sz="0" w:space="0" w:color="auto"/>
            <w:left w:val="none" w:sz="0" w:space="0" w:color="auto"/>
            <w:bottom w:val="none" w:sz="0" w:space="0" w:color="auto"/>
            <w:right w:val="none" w:sz="0" w:space="0" w:color="auto"/>
          </w:divBdr>
        </w:div>
        <w:div w:id="428504580">
          <w:marLeft w:val="0"/>
          <w:marRight w:val="0"/>
          <w:marTop w:val="0"/>
          <w:marBottom w:val="0"/>
          <w:divBdr>
            <w:top w:val="none" w:sz="0" w:space="0" w:color="auto"/>
            <w:left w:val="none" w:sz="0" w:space="0" w:color="auto"/>
            <w:bottom w:val="none" w:sz="0" w:space="0" w:color="auto"/>
            <w:right w:val="none" w:sz="0" w:space="0" w:color="auto"/>
          </w:divBdr>
        </w:div>
        <w:div w:id="610669894">
          <w:marLeft w:val="0"/>
          <w:marRight w:val="0"/>
          <w:marTop w:val="0"/>
          <w:marBottom w:val="0"/>
          <w:divBdr>
            <w:top w:val="none" w:sz="0" w:space="0" w:color="auto"/>
            <w:left w:val="none" w:sz="0" w:space="0" w:color="auto"/>
            <w:bottom w:val="none" w:sz="0" w:space="0" w:color="auto"/>
            <w:right w:val="none" w:sz="0" w:space="0" w:color="auto"/>
          </w:divBdr>
        </w:div>
        <w:div w:id="572470146">
          <w:marLeft w:val="0"/>
          <w:marRight w:val="0"/>
          <w:marTop w:val="0"/>
          <w:marBottom w:val="0"/>
          <w:divBdr>
            <w:top w:val="none" w:sz="0" w:space="0" w:color="auto"/>
            <w:left w:val="none" w:sz="0" w:space="0" w:color="auto"/>
            <w:bottom w:val="none" w:sz="0" w:space="0" w:color="auto"/>
            <w:right w:val="none" w:sz="0" w:space="0" w:color="auto"/>
          </w:divBdr>
        </w:div>
        <w:div w:id="205679776">
          <w:marLeft w:val="0"/>
          <w:marRight w:val="0"/>
          <w:marTop w:val="0"/>
          <w:marBottom w:val="0"/>
          <w:divBdr>
            <w:top w:val="none" w:sz="0" w:space="0" w:color="auto"/>
            <w:left w:val="none" w:sz="0" w:space="0" w:color="auto"/>
            <w:bottom w:val="none" w:sz="0" w:space="0" w:color="auto"/>
            <w:right w:val="none" w:sz="0" w:space="0" w:color="auto"/>
          </w:divBdr>
        </w:div>
        <w:div w:id="1592079426">
          <w:marLeft w:val="0"/>
          <w:marRight w:val="0"/>
          <w:marTop w:val="0"/>
          <w:marBottom w:val="0"/>
          <w:divBdr>
            <w:top w:val="none" w:sz="0" w:space="0" w:color="auto"/>
            <w:left w:val="none" w:sz="0" w:space="0" w:color="auto"/>
            <w:bottom w:val="none" w:sz="0" w:space="0" w:color="auto"/>
            <w:right w:val="none" w:sz="0" w:space="0" w:color="auto"/>
          </w:divBdr>
        </w:div>
        <w:div w:id="1347638335">
          <w:marLeft w:val="0"/>
          <w:marRight w:val="0"/>
          <w:marTop w:val="0"/>
          <w:marBottom w:val="0"/>
          <w:divBdr>
            <w:top w:val="none" w:sz="0" w:space="0" w:color="auto"/>
            <w:left w:val="none" w:sz="0" w:space="0" w:color="auto"/>
            <w:bottom w:val="none" w:sz="0" w:space="0" w:color="auto"/>
            <w:right w:val="none" w:sz="0" w:space="0" w:color="auto"/>
          </w:divBdr>
        </w:div>
        <w:div w:id="98179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3" Type="http://schemas.openxmlformats.org/officeDocument/2006/relationships/hyperlink" Target="http://www.un.org/rights/50/decla.htm" TargetMode="External"/><Relationship Id="rId14" Type="http://schemas.openxmlformats.org/officeDocument/2006/relationships/hyperlink" Target="http://ssrn.com/abstract=2085039" TargetMode="External"/><Relationship Id="rId15" Type="http://schemas.openxmlformats.org/officeDocument/2006/relationships/hyperlink" Target="http://www.amnesty.org/" TargetMode="External"/><Relationship Id="rId16" Type="http://schemas.openxmlformats.org/officeDocument/2006/relationships/hyperlink" Target="http://www.oecd.org/daf/inv/mne/50024800.pdf" TargetMode="External"/><Relationship Id="rId17" Type="http://schemas.openxmlformats.org/officeDocument/2006/relationships/hyperlink" Target="http://mneguidelines.oecd.org/text/" TargetMode="External"/><Relationship Id="rId18" Type="http://schemas.openxmlformats.org/officeDocument/2006/relationships/hyperlink" Target="http://www.telegraph.co.uk/news/worldnews/asia/india/10234314/Indian-villagers-defeat-British-billionaire-over-plans-to-mine-sacred-mountain.html" TargetMode="External"/><Relationship Id="rId19" Type="http://schemas.openxmlformats.org/officeDocument/2006/relationships/hyperlink" Target="http://www.theguardian.com/world/2012/apr/08/indian-tribe-avatar-supreme-court" TargetMode="External"/><Relationship Id="rId50" Type="http://schemas.openxmlformats.org/officeDocument/2006/relationships/hyperlink" Target="http://www.amnesty.org/en/library/asset/ASA20/001/2010/en/0a81a1bc-f50c-4426-9505-7fde6b3382ed/asa200012010en.pdf" TargetMode="External"/><Relationship Id="rId51" Type="http://schemas.openxmlformats.org/officeDocument/2006/relationships/hyperlink" Target="http://moef.nic.in/downloads/public-information/Saxena_Vedanta.pdf" TargetMode="External"/><Relationship Id="rId52" Type="http://schemas.openxmlformats.org/officeDocument/2006/relationships/hyperlink" Target="http://www.survivalinternational.org/news/6385" TargetMode="External"/><Relationship Id="rId53" Type="http://schemas.openxmlformats.org/officeDocument/2006/relationships/hyperlink" Target="http://www.survivalinternational.org/news/6605" TargetMode="External"/><Relationship Id="rId54" Type="http://schemas.openxmlformats.org/officeDocument/2006/relationships/hyperlink" Target="http://www.theguardian.com/world/2012/apr/08/indian-tribe-avatar-supreme-court" TargetMode="External"/><Relationship Id="rId55" Type="http://schemas.openxmlformats.org/officeDocument/2006/relationships/hyperlink" Target="http://www.survivalinternational.org/news/8670" TargetMode="External"/><Relationship Id="rId56" Type="http://schemas.openxmlformats.org/officeDocument/2006/relationships/hyperlink" Target="http://www.telegraph.co.uk/news/worldnews/asia/india/10234314/Indian-villagers-defeat-British-billionaire-over-plans-to-mine-sacred-mountain.html" TargetMode="External"/><Relationship Id="rId57" Type="http://schemas.openxmlformats.org/officeDocument/2006/relationships/hyperlink" Target="http://www.business-humanrights.org/SpecialRepPortal/Home/Protect-Respect-Remedy-Framework/GuidingPrinciples" TargetMode="External"/><Relationship Id="rId40" Type="http://schemas.openxmlformats.org/officeDocument/2006/relationships/hyperlink" Target="http://news.bbc.co.uk/2/hi/south_asia/8505250.stm" TargetMode="External"/><Relationship Id="rId41" Type="http://schemas.openxmlformats.org/officeDocument/2006/relationships/hyperlink" Target="http://articles.economictimes.indiatimes.com/2010-02-08/news/28391260_1_niyamgiri-mine-bauxite-vedanta-resources" TargetMode="External"/><Relationship Id="rId42" Type="http://schemas.openxmlformats.org/officeDocument/2006/relationships/hyperlink" Target="http://www.survivalinternational.org/news/3272" TargetMode="External"/><Relationship Id="rId43" Type="http://schemas.openxmlformats.org/officeDocument/2006/relationships/hyperlink" Target="http://www.survivalinternational.org/info" TargetMode="External"/><Relationship Id="rId44" Type="http://schemas.openxmlformats.org/officeDocument/2006/relationships/hyperlink" Target="https://www.gov.uk/uk-national-contact-point-for-the-organisation-for-economic-co-operation-and-development-oecd-guidelines-for-multinational-enterprises" TargetMode="External"/><Relationship Id="rId45" Type="http://schemas.openxmlformats.org/officeDocument/2006/relationships/hyperlink" Target="http://www.bis.gov.uk/assets/biscore/business-sectors/docs/10-778-survival-international-against-vedanta-resources.pdf" TargetMode="External"/><Relationship Id="rId46" Type="http://schemas.openxmlformats.org/officeDocument/2006/relationships/hyperlink" Target="http://assets.survivalinternational.org/documents/96/Survival_complaint_VEDANTA.pdf" TargetMode="External"/><Relationship Id="rId47" Type="http://schemas.openxmlformats.org/officeDocument/2006/relationships/hyperlink" Target="http://www.un.org/en/documents/udhr/index.shtml" TargetMode="External"/><Relationship Id="rId48" Type="http://schemas.openxmlformats.org/officeDocument/2006/relationships/hyperlink" Target="http://www.berr.gov.uk/files/file53117.doc" TargetMode="External"/><Relationship Id="rId49" Type="http://schemas.openxmlformats.org/officeDocument/2006/relationships/hyperlink" Target="https://www.gov.uk/uk-national-contact-point-for-the-organisation-for-economic-co-operation-and-development-oecd-guidelines-for-multinational-enterprises" TargetMode="External"/><Relationship Id="rId1" Type="http://schemas.openxmlformats.org/officeDocument/2006/relationships/hyperlink" Target="http://ssrn.com/abstract=2325994" TargetMode="External"/><Relationship Id="rId2" Type="http://schemas.openxmlformats.org/officeDocument/2006/relationships/hyperlink" Target="http://www.un.org/en/aboutun/history/index.shtml" TargetMode="External"/><Relationship Id="rId3" Type="http://schemas.openxmlformats.org/officeDocument/2006/relationships/hyperlink" Target="http://history.state.gov/milestones/1937-1945/UN" TargetMode="External"/><Relationship Id="rId4" Type="http://schemas.openxmlformats.org/officeDocument/2006/relationships/hyperlink" Target="http://history.state.gov/milestones/1937-1945/UN" TargetMode="External"/><Relationship Id="rId5" Type="http://schemas.openxmlformats.org/officeDocument/2006/relationships/hyperlink" Target="http://avalon.law.yale.edu/17th_century/westphal.asp" TargetMode="External"/><Relationship Id="rId6" Type="http://schemas.openxmlformats.org/officeDocument/2006/relationships/hyperlink" Target="https://fhi.duke.edu/sites/default/files/Teubner,%20Societal%20constitutionalism.pdf" TargetMode="External"/><Relationship Id="rId7" Type="http://schemas.openxmlformats.org/officeDocument/2006/relationships/hyperlink" Target="http://www.un.org/en/aboutun/history/index.shtml" TargetMode="External"/><Relationship Id="rId8" Type="http://schemas.openxmlformats.org/officeDocument/2006/relationships/hyperlink" Target="http://www.un.org/en/aboutun/history/index.shtml" TargetMode="External"/><Relationship Id="rId9" Type="http://schemas.openxmlformats.org/officeDocument/2006/relationships/hyperlink" Target="http://history.state.gov/milestones/1937-1945/UN" TargetMode="External"/><Relationship Id="rId30" Type="http://schemas.openxmlformats.org/officeDocument/2006/relationships/hyperlink" Target="http://news.bbc.co.uk/2/hi/south_asia/7486252.stm" TargetMode="External"/><Relationship Id="rId31" Type="http://schemas.openxmlformats.org/officeDocument/2006/relationships/hyperlink" Target="http://www.indiaresource.org/issues/globalization/2005/CECSep2005cancellicense.html" TargetMode="External"/><Relationship Id="rId32" Type="http://schemas.openxmlformats.org/officeDocument/2006/relationships/hyperlink" Target="http://www.survivalinternational.org/films/handfulsoil" TargetMode="External"/><Relationship Id="rId33" Type="http://schemas.openxmlformats.org/officeDocument/2006/relationships/hyperlink" Target="http://www.vedantaresources.com/who-we-are.aspx" TargetMode="External"/><Relationship Id="rId34" Type="http://schemas.openxmlformats.org/officeDocument/2006/relationships/hyperlink" Target="http://www.vedantaresources.com/uploads/VedantaRA07.pdf" TargetMode="External"/><Relationship Id="rId35" Type="http://schemas.openxmlformats.org/officeDocument/2006/relationships/hyperlink" Target="http://www.theguardian.com/business/2010/aug/29/vedanta-safety-awards-stripped" TargetMode="External"/><Relationship Id="rId36" Type="http://schemas.openxmlformats.org/officeDocument/2006/relationships/hyperlink" Target="http://www.regjeringen.no/Upload/FIN/Statens%20pensjonsfond/RecommendationVedanta.pdf" TargetMode="External"/><Relationship Id="rId37" Type="http://schemas.openxmlformats.org/officeDocument/2006/relationships/hyperlink" Target="http://www.indiaresource.org/issues/globalization/2005/CECSep2005cancellicense.html" TargetMode="External"/><Relationship Id="rId38" Type="http://schemas.openxmlformats.org/officeDocument/2006/relationships/hyperlink" Target="http://www.pucl.org/history.htm" TargetMode="External"/><Relationship Id="rId39" Type="http://schemas.openxmlformats.org/officeDocument/2006/relationships/hyperlink" Target="http://assets.survivalinternational.org/static/files/behindthelies/CEC_report_smaller.pdf" TargetMode="External"/><Relationship Id="rId20" Type="http://schemas.openxmlformats.org/officeDocument/2006/relationships/hyperlink" Target="http://www.theguardian.com/business/2010/feb/08/dongria-kondh-help-stop-vedanta" TargetMode="External"/><Relationship Id="rId21" Type="http://schemas.openxmlformats.org/officeDocument/2006/relationships/hyperlink" Target="http://www.survivalinternational.org/news/9478" TargetMode="External"/><Relationship Id="rId22" Type="http://schemas.openxmlformats.org/officeDocument/2006/relationships/hyperlink" Target="http://www.thehindu.com/news/national/other-states/dongria-kondhs-have-shown-the-way/article5044669.ece" TargetMode="External"/><Relationship Id="rId23" Type="http://schemas.openxmlformats.org/officeDocument/2006/relationships/hyperlink" Target="http://lawmin.nic.in/olwing/coi/coi-english/coi-indexenglish.htm" TargetMode="External"/><Relationship Id="rId24" Type="http://schemas.openxmlformats.org/officeDocument/2006/relationships/hyperlink" Target="http://labourbureau.nic.in/SE_Gujarat%2006-07_Contents.htm" TargetMode="External"/><Relationship Id="rId25" Type="http://schemas.openxmlformats.org/officeDocument/2006/relationships/hyperlink" Target="http://www.ethnologue.com/language/kxu" TargetMode="External"/><Relationship Id="rId26" Type="http://schemas.openxmlformats.org/officeDocument/2006/relationships/hyperlink" Target="http://www.amnesty.org/en/library/asset/ASA20/037/2011/en/6006600c-8be3-4495-917f-00584b3efc19/asa200372011en.pdf" TargetMode="External"/><Relationship Id="rId27" Type="http://schemas.openxmlformats.org/officeDocument/2006/relationships/hyperlink" Target="http://www.survivalinternational.org/tribes/dongria" TargetMode="External"/><Relationship Id="rId28" Type="http://schemas.openxmlformats.org/officeDocument/2006/relationships/hyperlink" Target="http://news.bbc.co.uk/2/hi/south_asia/7486252.stm" TargetMode="External"/><Relationship Id="rId29" Type="http://schemas.openxmlformats.org/officeDocument/2006/relationships/hyperlink" Target="http://www.indiaresource.org/issues/globalization/2005/CECSep2005cancellicense.html" TargetMode="External"/><Relationship Id="rId10" Type="http://schemas.openxmlformats.org/officeDocument/2006/relationships/hyperlink" Target="http://history.state.gov/milestones/1937-1945/UN" TargetMode="External"/><Relationship Id="rId11" Type="http://schemas.openxmlformats.org/officeDocument/2006/relationships/hyperlink" Target="http://history.state.gov/milestones/1937-1945/UN" TargetMode="External"/><Relationship Id="rId12" Type="http://schemas.openxmlformats.org/officeDocument/2006/relationships/hyperlink" Target="http://history.state.gov/milestones/1937-1945/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F72E6-86F3-8540-BA09-832E68B1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9774</Words>
  <Characters>55714</Characters>
  <Application>Microsoft Macintosh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College of the Liberal Arts</Company>
  <LinksUpToDate>false</LinksUpToDate>
  <CharactersWithSpaces>65358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Larry Backer</cp:lastModifiedBy>
  <cp:revision>5</cp:revision>
  <dcterms:created xsi:type="dcterms:W3CDTF">2014-05-07T03:31:00Z</dcterms:created>
  <dcterms:modified xsi:type="dcterms:W3CDTF">2014-05-17T16:56:00Z</dcterms:modified>
</cp:coreProperties>
</file>