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261" w:rsidRPr="00CB6129" w:rsidRDefault="00853261" w:rsidP="0047349A">
      <w:pPr>
        <w:shd w:val="clear" w:color="auto" w:fill="FFFFFF"/>
        <w:spacing w:line="234" w:lineRule="atLeast"/>
        <w:jc w:val="center"/>
        <w:rPr>
          <w:rFonts w:ascii="Arial" w:eastAsia="Times New Roman" w:hAnsi="Arial" w:cs="Arial"/>
          <w:szCs w:val="24"/>
          <w:lang w:val="en-US" w:eastAsia="fr-FR"/>
        </w:rPr>
      </w:pPr>
      <w:r w:rsidRPr="00CB6129">
        <w:rPr>
          <w:rFonts w:eastAsia="Times New Roman"/>
          <w:b/>
          <w:bCs/>
          <w:szCs w:val="24"/>
          <w:bdr w:val="none" w:sz="0" w:space="0" w:color="auto" w:frame="1"/>
          <w:lang w:val="en-US" w:eastAsia="fr-FR"/>
        </w:rPr>
        <w:t>Returning Guantanamo Bay to Cuban Control</w:t>
      </w:r>
    </w:p>
    <w:p w:rsidR="0047349A" w:rsidRPr="00CB6129" w:rsidRDefault="0047349A" w:rsidP="0047349A">
      <w:pPr>
        <w:shd w:val="clear" w:color="auto" w:fill="FFFFFF"/>
        <w:spacing w:line="234" w:lineRule="atLeast"/>
        <w:jc w:val="center"/>
        <w:rPr>
          <w:rFonts w:eastAsia="Times New Roman"/>
          <w:szCs w:val="24"/>
          <w:bdr w:val="none" w:sz="0" w:space="0" w:color="auto" w:frame="1"/>
          <w:lang w:eastAsia="fr-FR"/>
        </w:rPr>
      </w:pPr>
    </w:p>
    <w:p w:rsidR="00853261" w:rsidRPr="00CB6129" w:rsidRDefault="00853261" w:rsidP="0047349A">
      <w:pPr>
        <w:shd w:val="clear" w:color="auto" w:fill="FFFFFF"/>
        <w:spacing w:line="234" w:lineRule="atLeast"/>
        <w:jc w:val="center"/>
        <w:rPr>
          <w:rFonts w:eastAsia="Times New Roman"/>
          <w:szCs w:val="24"/>
          <w:bdr w:val="none" w:sz="0" w:space="0" w:color="auto" w:frame="1"/>
          <w:lang w:eastAsia="fr-FR"/>
        </w:rPr>
      </w:pPr>
      <w:r w:rsidRPr="00CB6129">
        <w:rPr>
          <w:rFonts w:eastAsia="Times New Roman"/>
          <w:szCs w:val="24"/>
          <w:bdr w:val="none" w:sz="0" w:space="0" w:color="auto" w:frame="1"/>
          <w:lang w:eastAsia="fr-FR"/>
        </w:rPr>
        <w:t>Michael J. Strauss</w:t>
      </w:r>
    </w:p>
    <w:p w:rsidR="00853261" w:rsidRPr="00CB6129" w:rsidRDefault="0047349A" w:rsidP="0047349A">
      <w:pPr>
        <w:shd w:val="clear" w:color="auto" w:fill="FFFFFF"/>
        <w:spacing w:line="234" w:lineRule="atLeast"/>
        <w:jc w:val="center"/>
        <w:rPr>
          <w:rFonts w:eastAsia="Times New Roman"/>
          <w:szCs w:val="24"/>
          <w:bdr w:val="none" w:sz="0" w:space="0" w:color="auto" w:frame="1"/>
          <w:lang w:eastAsia="fr-FR"/>
        </w:rPr>
      </w:pPr>
      <w:r w:rsidRPr="00CB6129">
        <w:rPr>
          <w:rFonts w:eastAsia="Times New Roman"/>
          <w:szCs w:val="24"/>
          <w:bdr w:val="none" w:sz="0" w:space="0" w:color="auto" w:frame="1"/>
          <w:lang w:eastAsia="fr-FR"/>
        </w:rPr>
        <w:t>Professor, Centre d’</w:t>
      </w:r>
      <w:r w:rsidR="00853261" w:rsidRPr="00CB6129">
        <w:rPr>
          <w:rFonts w:eastAsia="Times New Roman"/>
          <w:szCs w:val="24"/>
          <w:bdr w:val="none" w:sz="0" w:space="0" w:color="auto" w:frame="1"/>
          <w:lang w:eastAsia="fr-FR"/>
        </w:rPr>
        <w:t>Etudes Diplomatiques et Stratégiques (Paris, France)</w:t>
      </w:r>
    </w:p>
    <w:p w:rsidR="00383E1A" w:rsidRPr="00CB6129" w:rsidRDefault="00383E1A" w:rsidP="0047349A">
      <w:pPr>
        <w:shd w:val="clear" w:color="auto" w:fill="FFFFFF"/>
        <w:spacing w:line="234" w:lineRule="atLeast"/>
        <w:jc w:val="center"/>
        <w:rPr>
          <w:rFonts w:eastAsia="Times New Roman"/>
          <w:szCs w:val="24"/>
          <w:bdr w:val="none" w:sz="0" w:space="0" w:color="auto" w:frame="1"/>
          <w:lang w:eastAsia="fr-FR"/>
        </w:rPr>
      </w:pPr>
    </w:p>
    <w:p w:rsidR="00383E1A" w:rsidRPr="00CB6129" w:rsidRDefault="00383E1A" w:rsidP="0047349A">
      <w:pPr>
        <w:shd w:val="clear" w:color="auto" w:fill="FFFFFF"/>
        <w:spacing w:line="234" w:lineRule="atLeast"/>
        <w:jc w:val="center"/>
        <w:rPr>
          <w:rFonts w:eastAsia="Times New Roman"/>
          <w:i/>
          <w:szCs w:val="24"/>
          <w:bdr w:val="none" w:sz="0" w:space="0" w:color="auto" w:frame="1"/>
          <w:lang w:val="en-US" w:eastAsia="fr-FR"/>
        </w:rPr>
      </w:pPr>
      <w:r w:rsidRPr="00CB6129">
        <w:rPr>
          <w:rFonts w:eastAsia="Times New Roman"/>
          <w:i/>
          <w:szCs w:val="24"/>
          <w:bdr w:val="none" w:sz="0" w:space="0" w:color="auto" w:frame="1"/>
          <w:lang w:val="en-US" w:eastAsia="fr-FR"/>
        </w:rPr>
        <w:t>Paper for the ASCE Annual Conference, July 2016</w:t>
      </w:r>
    </w:p>
    <w:p w:rsidR="00383E1A" w:rsidRPr="00CB6129" w:rsidRDefault="00383E1A" w:rsidP="0047349A">
      <w:pPr>
        <w:shd w:val="clear" w:color="auto" w:fill="FFFFFF"/>
        <w:spacing w:line="234" w:lineRule="atLeast"/>
        <w:jc w:val="center"/>
        <w:rPr>
          <w:rFonts w:eastAsia="Times New Roman"/>
          <w:szCs w:val="24"/>
          <w:bdr w:val="none" w:sz="0" w:space="0" w:color="auto" w:frame="1"/>
          <w:lang w:val="en-US" w:eastAsia="fr-FR"/>
        </w:rPr>
      </w:pPr>
    </w:p>
    <w:p w:rsidR="00383E1A" w:rsidRPr="00CB6129" w:rsidRDefault="00383E1A" w:rsidP="0047349A">
      <w:pPr>
        <w:shd w:val="clear" w:color="auto" w:fill="FFFFFF"/>
        <w:spacing w:line="234" w:lineRule="atLeast"/>
        <w:jc w:val="center"/>
        <w:rPr>
          <w:rFonts w:eastAsia="Times New Roman"/>
          <w:szCs w:val="24"/>
          <w:bdr w:val="none" w:sz="0" w:space="0" w:color="auto" w:frame="1"/>
          <w:lang w:val="en-US" w:eastAsia="fr-FR"/>
        </w:rPr>
      </w:pPr>
    </w:p>
    <w:p w:rsidR="00383E1A" w:rsidRPr="00CB6129" w:rsidRDefault="00383E1A" w:rsidP="0047349A">
      <w:pPr>
        <w:shd w:val="clear" w:color="auto" w:fill="FFFFFF"/>
        <w:spacing w:line="234" w:lineRule="atLeast"/>
        <w:jc w:val="center"/>
        <w:rPr>
          <w:rFonts w:eastAsia="Times New Roman"/>
          <w:szCs w:val="24"/>
          <w:bdr w:val="none" w:sz="0" w:space="0" w:color="auto" w:frame="1"/>
          <w:lang w:val="en-US" w:eastAsia="fr-FR"/>
        </w:rPr>
      </w:pPr>
    </w:p>
    <w:p w:rsidR="00225EE9" w:rsidRPr="00CB6129" w:rsidRDefault="00043C89">
      <w:pPr>
        <w:rPr>
          <w:lang w:val="en-US"/>
        </w:rPr>
      </w:pPr>
      <w:r w:rsidRPr="00CB6129">
        <w:rPr>
          <w:lang w:val="en-US"/>
        </w:rPr>
        <w:tab/>
        <w:t xml:space="preserve">The </w:t>
      </w:r>
      <w:r w:rsidR="0047349A" w:rsidRPr="00CB6129">
        <w:rPr>
          <w:lang w:val="en-US"/>
        </w:rPr>
        <w:t xml:space="preserve">revival of </w:t>
      </w:r>
      <w:r w:rsidRPr="00CB6129">
        <w:rPr>
          <w:lang w:val="en-US"/>
        </w:rPr>
        <w:t xml:space="preserve">relations between the United States and Cuba </w:t>
      </w:r>
      <w:r w:rsidR="00383E1A" w:rsidRPr="00CB6129">
        <w:rPr>
          <w:lang w:val="en-US"/>
        </w:rPr>
        <w:t xml:space="preserve">since the end of 2014 has included </w:t>
      </w:r>
      <w:r w:rsidR="00B50F79" w:rsidRPr="00CB6129">
        <w:rPr>
          <w:lang w:val="en-US"/>
        </w:rPr>
        <w:t xml:space="preserve">the restoration of </w:t>
      </w:r>
      <w:r w:rsidR="000E5183" w:rsidRPr="00CB6129">
        <w:rPr>
          <w:lang w:val="en-US"/>
        </w:rPr>
        <w:t>diplomatic ties</w:t>
      </w:r>
      <w:r w:rsidR="00203050" w:rsidRPr="00CB6129">
        <w:rPr>
          <w:lang w:val="en-US"/>
        </w:rPr>
        <w:t>, a</w:t>
      </w:r>
      <w:r w:rsidRPr="00CB6129">
        <w:rPr>
          <w:lang w:val="en-US"/>
        </w:rPr>
        <w:t xml:space="preserve"> </w:t>
      </w:r>
      <w:r w:rsidR="00203050" w:rsidRPr="00CB6129">
        <w:rPr>
          <w:lang w:val="en-US"/>
        </w:rPr>
        <w:t xml:space="preserve">limited </w:t>
      </w:r>
      <w:r w:rsidRPr="00CB6129">
        <w:rPr>
          <w:lang w:val="en-US"/>
        </w:rPr>
        <w:t xml:space="preserve">easing of travel and financial restrictions, </w:t>
      </w:r>
      <w:r w:rsidR="00203050" w:rsidRPr="00CB6129">
        <w:rPr>
          <w:lang w:val="en-US"/>
        </w:rPr>
        <w:t xml:space="preserve">and new efforts to cooperate in areas ranging from law </w:t>
      </w:r>
      <w:r w:rsidR="009B4DE6" w:rsidRPr="00CB6129">
        <w:rPr>
          <w:lang w:val="en-US"/>
        </w:rPr>
        <w:t xml:space="preserve">enforcement to the environment. </w:t>
      </w:r>
      <w:r w:rsidR="00203050" w:rsidRPr="00CB6129">
        <w:rPr>
          <w:lang w:val="en-US"/>
        </w:rPr>
        <w:t xml:space="preserve">However, a </w:t>
      </w:r>
      <w:r w:rsidR="00A867A9" w:rsidRPr="00CB6129">
        <w:rPr>
          <w:lang w:val="en-US"/>
        </w:rPr>
        <w:t>“</w:t>
      </w:r>
      <w:r w:rsidR="000B25B4" w:rsidRPr="00CB6129">
        <w:rPr>
          <w:lang w:val="en-US"/>
        </w:rPr>
        <w:t xml:space="preserve">full </w:t>
      </w:r>
      <w:r w:rsidR="00537520" w:rsidRPr="00CB6129">
        <w:rPr>
          <w:lang w:val="en-US"/>
        </w:rPr>
        <w:t>normalization</w:t>
      </w:r>
      <w:r w:rsidR="00A867A9" w:rsidRPr="00CB6129">
        <w:rPr>
          <w:lang w:val="en-US"/>
        </w:rPr>
        <w:t>”</w:t>
      </w:r>
      <w:r w:rsidR="00537520" w:rsidRPr="00CB6129">
        <w:rPr>
          <w:lang w:val="en-US"/>
        </w:rPr>
        <w:t xml:space="preserve"> of </w:t>
      </w:r>
      <w:r w:rsidR="00B50F79" w:rsidRPr="00CB6129">
        <w:rPr>
          <w:lang w:val="en-US"/>
        </w:rPr>
        <w:t xml:space="preserve">bilateral </w:t>
      </w:r>
      <w:r w:rsidR="00537520" w:rsidRPr="00CB6129">
        <w:rPr>
          <w:lang w:val="en-US"/>
        </w:rPr>
        <w:t>relations</w:t>
      </w:r>
      <w:r w:rsidR="009B4DE6" w:rsidRPr="00CB6129">
        <w:rPr>
          <w:rStyle w:val="Appelnotedebasdep"/>
          <w:lang w:val="en-US"/>
        </w:rPr>
        <w:footnoteReference w:id="1"/>
      </w:r>
      <w:r w:rsidR="00537520" w:rsidRPr="00CB6129">
        <w:rPr>
          <w:lang w:val="en-US"/>
        </w:rPr>
        <w:t xml:space="preserve"> </w:t>
      </w:r>
      <w:r w:rsidR="000B25B4" w:rsidRPr="00CB6129">
        <w:rPr>
          <w:lang w:val="en-US"/>
        </w:rPr>
        <w:t>is</w:t>
      </w:r>
      <w:r w:rsidR="00537520" w:rsidRPr="00CB6129">
        <w:rPr>
          <w:lang w:val="en-US"/>
        </w:rPr>
        <w:t xml:space="preserve"> subject to</w:t>
      </w:r>
      <w:r w:rsidR="000B25B4" w:rsidRPr="00CB6129">
        <w:rPr>
          <w:lang w:val="en-US"/>
        </w:rPr>
        <w:t xml:space="preserve"> resolving </w:t>
      </w:r>
      <w:r w:rsidR="006F237D" w:rsidRPr="00CB6129">
        <w:rPr>
          <w:lang w:val="en-US"/>
        </w:rPr>
        <w:t>many o</w:t>
      </w:r>
      <w:r w:rsidR="000B25B4" w:rsidRPr="00CB6129">
        <w:rPr>
          <w:lang w:val="en-US"/>
        </w:rPr>
        <w:t>utstanding issues</w:t>
      </w:r>
      <w:r w:rsidR="00B50F79" w:rsidRPr="00CB6129">
        <w:rPr>
          <w:lang w:val="en-US"/>
        </w:rPr>
        <w:t>.</w:t>
      </w:r>
      <w:r w:rsidR="000B25B4" w:rsidRPr="00CB6129">
        <w:rPr>
          <w:lang w:val="en-US"/>
        </w:rPr>
        <w:t xml:space="preserve"> </w:t>
      </w:r>
      <w:r w:rsidR="0047349A" w:rsidRPr="00CB6129">
        <w:rPr>
          <w:lang w:val="en-US"/>
        </w:rPr>
        <w:t xml:space="preserve">Among the main ones are a U.S. demand that </w:t>
      </w:r>
      <w:r w:rsidR="000B25B4" w:rsidRPr="00CB6129">
        <w:rPr>
          <w:lang w:val="en-US"/>
        </w:rPr>
        <w:t>Cuba compensate American interests for property se</w:t>
      </w:r>
      <w:r w:rsidR="0047349A" w:rsidRPr="00CB6129">
        <w:rPr>
          <w:lang w:val="en-US"/>
        </w:rPr>
        <w:t>ized during the Revolution, and Cuba</w:t>
      </w:r>
      <w:r w:rsidR="006F237D" w:rsidRPr="00CB6129">
        <w:rPr>
          <w:lang w:val="en-US"/>
        </w:rPr>
        <w:t>’s insistence</w:t>
      </w:r>
      <w:r w:rsidR="0047349A" w:rsidRPr="00CB6129">
        <w:rPr>
          <w:lang w:val="en-US"/>
        </w:rPr>
        <w:t xml:space="preserve"> that the </w:t>
      </w:r>
      <w:r w:rsidR="00F11D93" w:rsidRPr="00CB6129">
        <w:rPr>
          <w:lang w:val="en-US"/>
        </w:rPr>
        <w:t xml:space="preserve">United States </w:t>
      </w:r>
      <w:r w:rsidR="0047349A" w:rsidRPr="00CB6129">
        <w:rPr>
          <w:lang w:val="en-US"/>
        </w:rPr>
        <w:t>lift its trade embargo and retu</w:t>
      </w:r>
      <w:r w:rsidR="00603F6E" w:rsidRPr="00CB6129">
        <w:rPr>
          <w:lang w:val="en-US"/>
        </w:rPr>
        <w:t xml:space="preserve">rn </w:t>
      </w:r>
      <w:r w:rsidR="00F11D93" w:rsidRPr="00CB6129">
        <w:rPr>
          <w:lang w:val="en-US"/>
        </w:rPr>
        <w:t>c</w:t>
      </w:r>
      <w:r w:rsidR="000B25B4" w:rsidRPr="00CB6129">
        <w:rPr>
          <w:lang w:val="en-US"/>
        </w:rPr>
        <w:t>ontrol of Guantanamo Bay to Cuba.</w:t>
      </w:r>
      <w:r w:rsidR="00357DFA" w:rsidRPr="00CB6129">
        <w:rPr>
          <w:rStyle w:val="Appelnotedebasdep"/>
          <w:lang w:val="en-US"/>
        </w:rPr>
        <w:footnoteReference w:id="2"/>
      </w:r>
      <w:r w:rsidR="00357DFA" w:rsidRPr="00CB6129">
        <w:rPr>
          <w:lang w:val="en-US"/>
        </w:rPr>
        <w:t xml:space="preserve"> </w:t>
      </w:r>
      <w:r w:rsidR="000B25B4" w:rsidRPr="00CB6129">
        <w:rPr>
          <w:lang w:val="en-US"/>
        </w:rPr>
        <w:t xml:space="preserve"> </w:t>
      </w:r>
    </w:p>
    <w:p w:rsidR="00F7696F" w:rsidRPr="00CB6129" w:rsidRDefault="00BC5173">
      <w:pPr>
        <w:rPr>
          <w:lang w:val="en-US"/>
        </w:rPr>
      </w:pPr>
      <w:r w:rsidRPr="00CB6129">
        <w:rPr>
          <w:lang w:val="en-US"/>
        </w:rPr>
        <w:tab/>
      </w:r>
      <w:r w:rsidR="000B25B4" w:rsidRPr="00CB6129">
        <w:rPr>
          <w:lang w:val="en-US"/>
        </w:rPr>
        <w:t>None of the</w:t>
      </w:r>
      <w:r w:rsidR="00F644C2" w:rsidRPr="00CB6129">
        <w:rPr>
          <w:lang w:val="en-US"/>
        </w:rPr>
        <w:t xml:space="preserve"> outstanding</w:t>
      </w:r>
      <w:r w:rsidR="000B25B4" w:rsidRPr="00CB6129">
        <w:rPr>
          <w:lang w:val="en-US"/>
        </w:rPr>
        <w:t xml:space="preserve"> issues </w:t>
      </w:r>
      <w:r w:rsidR="00F644C2" w:rsidRPr="00CB6129">
        <w:rPr>
          <w:lang w:val="en-US"/>
        </w:rPr>
        <w:t xml:space="preserve">is </w:t>
      </w:r>
      <w:r w:rsidR="000B25B4" w:rsidRPr="00CB6129">
        <w:rPr>
          <w:lang w:val="en-US"/>
        </w:rPr>
        <w:t xml:space="preserve">isolated </w:t>
      </w:r>
      <w:r w:rsidR="00F644C2" w:rsidRPr="00CB6129">
        <w:rPr>
          <w:lang w:val="en-US"/>
        </w:rPr>
        <w:t xml:space="preserve">– </w:t>
      </w:r>
      <w:r w:rsidR="00BC27B7">
        <w:rPr>
          <w:lang w:val="en-US"/>
        </w:rPr>
        <w:t xml:space="preserve">each </w:t>
      </w:r>
      <w:r w:rsidR="00050F14" w:rsidRPr="00CB6129">
        <w:rPr>
          <w:lang w:val="en-US"/>
        </w:rPr>
        <w:t>can become interdependent with others in the negotiations to broaden relations – but</w:t>
      </w:r>
      <w:r w:rsidR="00D33E98" w:rsidRPr="00CB6129">
        <w:rPr>
          <w:lang w:val="en-US"/>
        </w:rPr>
        <w:t xml:space="preserve"> e</w:t>
      </w:r>
      <w:r w:rsidR="00BC27B7">
        <w:rPr>
          <w:lang w:val="en-US"/>
        </w:rPr>
        <w:t>very</w:t>
      </w:r>
      <w:r w:rsidR="00D33E98" w:rsidRPr="00CB6129">
        <w:rPr>
          <w:lang w:val="en-US"/>
        </w:rPr>
        <w:t xml:space="preserve"> </w:t>
      </w:r>
      <w:r w:rsidR="00F7696F" w:rsidRPr="00CB6129">
        <w:rPr>
          <w:lang w:val="en-US"/>
        </w:rPr>
        <w:t xml:space="preserve">issue </w:t>
      </w:r>
      <w:r w:rsidR="00F644C2" w:rsidRPr="00CB6129">
        <w:rPr>
          <w:lang w:val="en-US"/>
        </w:rPr>
        <w:t xml:space="preserve">has distinct characteristics that can determine what </w:t>
      </w:r>
      <w:r w:rsidR="00F7696F" w:rsidRPr="00CB6129">
        <w:rPr>
          <w:lang w:val="en-US"/>
        </w:rPr>
        <w:t xml:space="preserve">might be done to address it. This paper </w:t>
      </w:r>
      <w:r w:rsidR="00F11D93" w:rsidRPr="00CB6129">
        <w:rPr>
          <w:lang w:val="en-US"/>
        </w:rPr>
        <w:t>focuse</w:t>
      </w:r>
      <w:r w:rsidR="00225EE9" w:rsidRPr="00CB6129">
        <w:rPr>
          <w:lang w:val="en-US"/>
        </w:rPr>
        <w:t xml:space="preserve">s on identifying </w:t>
      </w:r>
      <w:r w:rsidR="00603F6E" w:rsidRPr="00CB6129">
        <w:rPr>
          <w:lang w:val="en-US"/>
        </w:rPr>
        <w:t>the legal and political options that may shape ho</w:t>
      </w:r>
      <w:r w:rsidR="00225EE9" w:rsidRPr="00CB6129">
        <w:rPr>
          <w:lang w:val="en-US"/>
        </w:rPr>
        <w:t xml:space="preserve">w the United States </w:t>
      </w:r>
      <w:r w:rsidR="00603F6E" w:rsidRPr="00CB6129">
        <w:rPr>
          <w:lang w:val="en-US"/>
        </w:rPr>
        <w:t>r</w:t>
      </w:r>
      <w:r w:rsidR="00225EE9" w:rsidRPr="00CB6129">
        <w:rPr>
          <w:lang w:val="en-US"/>
        </w:rPr>
        <w:t>espond</w:t>
      </w:r>
      <w:r w:rsidR="00603F6E" w:rsidRPr="00CB6129">
        <w:rPr>
          <w:lang w:val="en-US"/>
        </w:rPr>
        <w:t>s</w:t>
      </w:r>
      <w:r w:rsidR="00225EE9" w:rsidRPr="00CB6129">
        <w:rPr>
          <w:lang w:val="en-US"/>
        </w:rPr>
        <w:t xml:space="preserve"> t</w:t>
      </w:r>
      <w:r w:rsidR="00F7696F" w:rsidRPr="00CB6129">
        <w:rPr>
          <w:lang w:val="en-US"/>
        </w:rPr>
        <w:t>o Cuba’s</w:t>
      </w:r>
      <w:r w:rsidR="00F644C2" w:rsidRPr="00CB6129">
        <w:rPr>
          <w:lang w:val="en-US"/>
        </w:rPr>
        <w:t xml:space="preserve"> </w:t>
      </w:r>
      <w:r w:rsidR="006F237D" w:rsidRPr="00CB6129">
        <w:rPr>
          <w:lang w:val="en-US"/>
        </w:rPr>
        <w:t>demand</w:t>
      </w:r>
      <w:r w:rsidR="00603F6E" w:rsidRPr="00CB6129">
        <w:rPr>
          <w:lang w:val="en-US"/>
        </w:rPr>
        <w:t xml:space="preserve"> </w:t>
      </w:r>
      <w:r w:rsidR="006F237D" w:rsidRPr="00CB6129">
        <w:rPr>
          <w:lang w:val="en-US"/>
        </w:rPr>
        <w:t xml:space="preserve">for </w:t>
      </w:r>
      <w:r w:rsidR="00603F6E" w:rsidRPr="00CB6129">
        <w:rPr>
          <w:lang w:val="en-US"/>
        </w:rPr>
        <w:t xml:space="preserve">recovering </w:t>
      </w:r>
      <w:r w:rsidR="00537520" w:rsidRPr="00CB6129">
        <w:rPr>
          <w:lang w:val="en-US"/>
        </w:rPr>
        <w:t>control of</w:t>
      </w:r>
      <w:r w:rsidR="00F644C2" w:rsidRPr="00CB6129">
        <w:rPr>
          <w:lang w:val="en-US"/>
        </w:rPr>
        <w:t xml:space="preserve"> Guantanamo Bay</w:t>
      </w:r>
      <w:r w:rsidR="00603F6E" w:rsidRPr="00CB6129">
        <w:rPr>
          <w:lang w:val="en-US"/>
        </w:rPr>
        <w:t xml:space="preserve">. </w:t>
      </w:r>
      <w:r w:rsidR="00162868" w:rsidRPr="00CB6129">
        <w:rPr>
          <w:lang w:val="en-US"/>
        </w:rPr>
        <w:t xml:space="preserve">It will also discuss </w:t>
      </w:r>
      <w:r w:rsidR="002B0A5D" w:rsidRPr="00CB6129">
        <w:rPr>
          <w:lang w:val="en-US"/>
        </w:rPr>
        <w:t xml:space="preserve">some </w:t>
      </w:r>
      <w:r w:rsidR="00162868" w:rsidRPr="00CB6129">
        <w:rPr>
          <w:lang w:val="en-US"/>
        </w:rPr>
        <w:t xml:space="preserve">practical </w:t>
      </w:r>
      <w:r w:rsidR="00F7696F" w:rsidRPr="00CB6129">
        <w:rPr>
          <w:lang w:val="en-US"/>
        </w:rPr>
        <w:t xml:space="preserve">implications for both the United States and Cuba of </w:t>
      </w:r>
      <w:r w:rsidR="00162868" w:rsidRPr="00CB6129">
        <w:rPr>
          <w:lang w:val="en-US"/>
        </w:rPr>
        <w:t>satisfying this demand</w:t>
      </w:r>
      <w:r w:rsidR="002B0A5D" w:rsidRPr="00CB6129">
        <w:rPr>
          <w:lang w:val="en-US"/>
        </w:rPr>
        <w:t>.</w:t>
      </w:r>
    </w:p>
    <w:p w:rsidR="002B0A5D" w:rsidRPr="00CB6129" w:rsidRDefault="002B0A5D">
      <w:pPr>
        <w:rPr>
          <w:lang w:val="en-US"/>
        </w:rPr>
      </w:pPr>
    </w:p>
    <w:p w:rsidR="005A4D42" w:rsidRPr="00CB6129" w:rsidRDefault="005A4D42">
      <w:pPr>
        <w:rPr>
          <w:lang w:val="en-US"/>
        </w:rPr>
      </w:pPr>
    </w:p>
    <w:p w:rsidR="004863A5" w:rsidRPr="00CB6129" w:rsidRDefault="002B0A5D">
      <w:pPr>
        <w:rPr>
          <w:lang w:val="en-US"/>
        </w:rPr>
      </w:pPr>
      <w:r w:rsidRPr="00CB6129">
        <w:rPr>
          <w:lang w:val="en-US"/>
        </w:rPr>
        <w:t>The Guantanamo Bay Lease and the Territory</w:t>
      </w:r>
      <w:r w:rsidR="000D4A78" w:rsidRPr="00CB6129">
        <w:rPr>
          <w:lang w:val="en-US"/>
        </w:rPr>
        <w:t>’s Legal Status</w:t>
      </w:r>
    </w:p>
    <w:p w:rsidR="004863A5" w:rsidRPr="00CB6129" w:rsidRDefault="004863A5">
      <w:pPr>
        <w:rPr>
          <w:lang w:val="en-US"/>
        </w:rPr>
      </w:pPr>
    </w:p>
    <w:p w:rsidR="00BA2575" w:rsidRPr="00CB6129" w:rsidRDefault="00F7696F" w:rsidP="007E5EAB">
      <w:pPr>
        <w:autoSpaceDE w:val="0"/>
        <w:autoSpaceDN w:val="0"/>
        <w:adjustRightInd w:val="0"/>
        <w:rPr>
          <w:lang w:val="en-US"/>
        </w:rPr>
      </w:pPr>
      <w:r w:rsidRPr="00CB6129">
        <w:rPr>
          <w:lang w:val="en-US"/>
        </w:rPr>
        <w:tab/>
      </w:r>
      <w:r w:rsidR="00176494" w:rsidRPr="00CB6129">
        <w:rPr>
          <w:lang w:val="en-US"/>
        </w:rPr>
        <w:t>Guantanamo Bay is a</w:t>
      </w:r>
      <w:r w:rsidR="00A41B11" w:rsidRPr="00CB6129">
        <w:rPr>
          <w:lang w:val="en-US"/>
        </w:rPr>
        <w:t xml:space="preserve"> </w:t>
      </w:r>
      <w:r w:rsidR="004863A5" w:rsidRPr="00CB6129">
        <w:rPr>
          <w:lang w:val="en-US"/>
        </w:rPr>
        <w:t xml:space="preserve">coastal </w:t>
      </w:r>
      <w:r w:rsidR="00A41B11" w:rsidRPr="00CB6129">
        <w:rPr>
          <w:lang w:val="en-US"/>
        </w:rPr>
        <w:t>territory</w:t>
      </w:r>
      <w:r w:rsidR="001B5873" w:rsidRPr="00CB6129">
        <w:rPr>
          <w:lang w:val="en-US"/>
        </w:rPr>
        <w:t xml:space="preserve"> that covers 45 square miles (117 square kilometers) of land and water </w:t>
      </w:r>
      <w:r w:rsidR="003103BE" w:rsidRPr="00CB6129">
        <w:rPr>
          <w:lang w:val="en-US"/>
        </w:rPr>
        <w:t xml:space="preserve">in southeast </w:t>
      </w:r>
      <w:r w:rsidR="001B5873" w:rsidRPr="00CB6129">
        <w:rPr>
          <w:lang w:val="en-US"/>
        </w:rPr>
        <w:t xml:space="preserve">Cuba. </w:t>
      </w:r>
      <w:r w:rsidR="003103BE" w:rsidRPr="00CB6129">
        <w:rPr>
          <w:lang w:val="en-US"/>
        </w:rPr>
        <w:t xml:space="preserve">It </w:t>
      </w:r>
      <w:r w:rsidR="004619BD" w:rsidRPr="00CB6129">
        <w:rPr>
          <w:lang w:val="en-US"/>
        </w:rPr>
        <w:t xml:space="preserve">was leased for an indefinite period by the United States in 1903 in compliance with </w:t>
      </w:r>
      <w:r w:rsidR="00A82F87" w:rsidRPr="00CB6129">
        <w:rPr>
          <w:lang w:val="en-US"/>
        </w:rPr>
        <w:t xml:space="preserve">the Platt Amendment, </w:t>
      </w:r>
      <w:r w:rsidR="003103BE" w:rsidRPr="00CB6129">
        <w:rPr>
          <w:lang w:val="en-US"/>
        </w:rPr>
        <w:t xml:space="preserve">which Cuba accepted as a condition for gaining </w:t>
      </w:r>
      <w:r w:rsidR="004619BD" w:rsidRPr="00CB6129">
        <w:rPr>
          <w:lang w:val="en-US"/>
        </w:rPr>
        <w:t xml:space="preserve">independence from U.S. </w:t>
      </w:r>
      <w:r w:rsidR="003103BE" w:rsidRPr="00CB6129">
        <w:rPr>
          <w:lang w:val="en-US"/>
        </w:rPr>
        <w:t xml:space="preserve">military </w:t>
      </w:r>
      <w:r w:rsidR="004619BD" w:rsidRPr="00CB6129">
        <w:rPr>
          <w:lang w:val="en-US"/>
        </w:rPr>
        <w:t xml:space="preserve">control </w:t>
      </w:r>
      <w:r w:rsidR="00603F6E" w:rsidRPr="00CB6129">
        <w:rPr>
          <w:lang w:val="en-US"/>
        </w:rPr>
        <w:t>i</w:t>
      </w:r>
      <w:r w:rsidR="004619BD" w:rsidRPr="00CB6129">
        <w:rPr>
          <w:lang w:val="en-US"/>
        </w:rPr>
        <w:t>n 190</w:t>
      </w:r>
      <w:r w:rsidR="00824573" w:rsidRPr="00CB6129">
        <w:rPr>
          <w:lang w:val="en-US"/>
        </w:rPr>
        <w:t>2</w:t>
      </w:r>
      <w:r w:rsidR="003103BE" w:rsidRPr="00CB6129">
        <w:rPr>
          <w:lang w:val="en-US"/>
        </w:rPr>
        <w:t>.</w:t>
      </w:r>
      <w:r w:rsidR="009670B0" w:rsidRPr="00CB6129">
        <w:rPr>
          <w:rStyle w:val="Appelnotedebasdep"/>
          <w:lang w:val="en-US"/>
        </w:rPr>
        <w:footnoteReference w:id="3"/>
      </w:r>
      <w:r w:rsidR="003103BE" w:rsidRPr="00CB6129">
        <w:rPr>
          <w:lang w:val="en-US"/>
        </w:rPr>
        <w:t xml:space="preserve"> The Platt Amendment</w:t>
      </w:r>
      <w:r w:rsidR="009670B0" w:rsidRPr="00CB6129">
        <w:rPr>
          <w:lang w:val="en-US"/>
        </w:rPr>
        <w:t xml:space="preserve"> </w:t>
      </w:r>
      <w:r w:rsidR="003103BE" w:rsidRPr="00CB6129">
        <w:rPr>
          <w:lang w:val="en-US"/>
        </w:rPr>
        <w:t>obliged Cuba to “sell or lease to the United States</w:t>
      </w:r>
      <w:r w:rsidR="00162868" w:rsidRPr="00CB6129">
        <w:rPr>
          <w:lang w:val="en-US"/>
        </w:rPr>
        <w:t xml:space="preserve"> lands necessary for coaling or naval stations at certain specified points to be agreed upon</w:t>
      </w:r>
      <w:r w:rsidR="00A82F87" w:rsidRPr="00CB6129">
        <w:rPr>
          <w:lang w:val="en-US"/>
        </w:rPr>
        <w:t>”</w:t>
      </w:r>
      <w:r w:rsidR="003103BE" w:rsidRPr="00CB6129">
        <w:rPr>
          <w:lang w:val="en-US"/>
        </w:rPr>
        <w:t xml:space="preserve"> </w:t>
      </w:r>
      <w:r w:rsidR="007E5EAB" w:rsidRPr="00CB6129">
        <w:rPr>
          <w:lang w:val="en-US"/>
        </w:rPr>
        <w:t xml:space="preserve">for the purposes of enabling the United States </w:t>
      </w:r>
      <w:r w:rsidR="00D220E5" w:rsidRPr="00CB6129">
        <w:rPr>
          <w:lang w:val="en-US"/>
        </w:rPr>
        <w:t>“</w:t>
      </w:r>
      <w:r w:rsidR="007E5EAB" w:rsidRPr="00CB6129">
        <w:rPr>
          <w:lang w:val="en-US"/>
        </w:rPr>
        <w:t xml:space="preserve">to maintain </w:t>
      </w:r>
      <w:r w:rsidR="00D220E5" w:rsidRPr="00CB6129">
        <w:rPr>
          <w:lang w:val="en-US"/>
        </w:rPr>
        <w:t>the independence of Cuba, and to protect the people thereof, as well as for its own defense.”</w:t>
      </w:r>
      <w:r w:rsidR="00BA2575" w:rsidRPr="00CB6129">
        <w:rPr>
          <w:rStyle w:val="Appelnotedebasdep"/>
          <w:lang w:val="en-US"/>
        </w:rPr>
        <w:footnoteReference w:id="4"/>
      </w:r>
    </w:p>
    <w:p w:rsidR="000F0D79" w:rsidRPr="00CB6129" w:rsidRDefault="00BA2575">
      <w:pPr>
        <w:rPr>
          <w:lang w:val="en-US"/>
        </w:rPr>
      </w:pPr>
      <w:r w:rsidRPr="00CB6129">
        <w:rPr>
          <w:lang w:val="en-US"/>
        </w:rPr>
        <w:tab/>
      </w:r>
      <w:r w:rsidR="00A41B11" w:rsidRPr="00CB6129">
        <w:rPr>
          <w:lang w:val="en-US"/>
        </w:rPr>
        <w:t xml:space="preserve">The </w:t>
      </w:r>
      <w:r w:rsidR="006E798B" w:rsidRPr="00CB6129">
        <w:rPr>
          <w:lang w:val="en-US"/>
        </w:rPr>
        <w:t>te</w:t>
      </w:r>
      <w:r w:rsidR="00824573" w:rsidRPr="00CB6129">
        <w:rPr>
          <w:lang w:val="en-US"/>
        </w:rPr>
        <w:t xml:space="preserve">xt </w:t>
      </w:r>
      <w:r w:rsidR="006E798B" w:rsidRPr="00CB6129">
        <w:rPr>
          <w:lang w:val="en-US"/>
        </w:rPr>
        <w:t>of the lea</w:t>
      </w:r>
      <w:r w:rsidR="00A41B11" w:rsidRPr="00CB6129">
        <w:rPr>
          <w:lang w:val="en-US"/>
        </w:rPr>
        <w:t xml:space="preserve">se </w:t>
      </w:r>
      <w:r w:rsidR="009670B0" w:rsidRPr="00CB6129">
        <w:rPr>
          <w:lang w:val="en-US"/>
        </w:rPr>
        <w:t>of Guantanamo Bay</w:t>
      </w:r>
      <w:r w:rsidR="00603F6E" w:rsidRPr="00CB6129">
        <w:rPr>
          <w:rStyle w:val="Appelnotedebasdep"/>
          <w:lang w:val="en-US"/>
        </w:rPr>
        <w:footnoteReference w:id="5"/>
      </w:r>
      <w:r w:rsidR="009670B0" w:rsidRPr="00CB6129">
        <w:rPr>
          <w:lang w:val="en-US"/>
        </w:rPr>
        <w:t xml:space="preserve"> </w:t>
      </w:r>
      <w:r w:rsidR="00824573" w:rsidRPr="00CB6129">
        <w:rPr>
          <w:lang w:val="en-US"/>
        </w:rPr>
        <w:t>is</w:t>
      </w:r>
      <w:r w:rsidR="00A41B11" w:rsidRPr="00CB6129">
        <w:rPr>
          <w:lang w:val="en-US"/>
        </w:rPr>
        <w:t xml:space="preserve"> </w:t>
      </w:r>
      <w:r w:rsidR="00F561D3" w:rsidRPr="00CB6129">
        <w:rPr>
          <w:lang w:val="en-US"/>
        </w:rPr>
        <w:t xml:space="preserve">spread over </w:t>
      </w:r>
      <w:r w:rsidR="001F0B63" w:rsidRPr="00CB6129">
        <w:rPr>
          <w:lang w:val="en-US"/>
        </w:rPr>
        <w:t xml:space="preserve">two </w:t>
      </w:r>
      <w:r w:rsidR="00A41B11" w:rsidRPr="00CB6129">
        <w:rPr>
          <w:lang w:val="en-US"/>
        </w:rPr>
        <w:t xml:space="preserve">bilateral </w:t>
      </w:r>
      <w:r w:rsidR="006E798B" w:rsidRPr="00CB6129">
        <w:rPr>
          <w:lang w:val="en-US"/>
        </w:rPr>
        <w:t>accords</w:t>
      </w:r>
      <w:r w:rsidR="00A41B11" w:rsidRPr="00CB6129">
        <w:rPr>
          <w:lang w:val="en-US"/>
        </w:rPr>
        <w:t xml:space="preserve"> that were concluded </w:t>
      </w:r>
      <w:r w:rsidR="006E798B" w:rsidRPr="00CB6129">
        <w:rPr>
          <w:lang w:val="en-US"/>
        </w:rPr>
        <w:t>several months apart</w:t>
      </w:r>
      <w:r w:rsidR="00FF408F" w:rsidRPr="00CB6129">
        <w:rPr>
          <w:lang w:val="en-US"/>
        </w:rPr>
        <w:t xml:space="preserve">. The first was </w:t>
      </w:r>
      <w:r w:rsidR="006E798B" w:rsidRPr="00CB6129">
        <w:rPr>
          <w:lang w:val="en-US"/>
        </w:rPr>
        <w:t xml:space="preserve">an executive agreement </w:t>
      </w:r>
      <w:r w:rsidR="001F0B63" w:rsidRPr="00CB6129">
        <w:rPr>
          <w:lang w:val="en-US"/>
        </w:rPr>
        <w:t xml:space="preserve">between the U.S. </w:t>
      </w:r>
      <w:r w:rsidR="001F0B63" w:rsidRPr="00CB6129">
        <w:rPr>
          <w:lang w:val="en-US"/>
        </w:rPr>
        <w:lastRenderedPageBreak/>
        <w:t xml:space="preserve">and Cuban presidents </w:t>
      </w:r>
      <w:r w:rsidR="006F237D" w:rsidRPr="00CB6129">
        <w:rPr>
          <w:lang w:val="en-US"/>
        </w:rPr>
        <w:t xml:space="preserve">in </w:t>
      </w:r>
      <w:r w:rsidR="00FF408F" w:rsidRPr="00CB6129">
        <w:rPr>
          <w:lang w:val="en-US"/>
        </w:rPr>
        <w:t xml:space="preserve">February 1903 </w:t>
      </w:r>
      <w:r w:rsidR="001F0B63" w:rsidRPr="00CB6129">
        <w:rPr>
          <w:lang w:val="en-US"/>
        </w:rPr>
        <w:t xml:space="preserve">that </w:t>
      </w:r>
      <w:r w:rsidR="00D137E8" w:rsidRPr="00CB6129">
        <w:rPr>
          <w:lang w:val="en-US"/>
        </w:rPr>
        <w:t>created the lease</w:t>
      </w:r>
      <w:r w:rsidR="00F561D3" w:rsidRPr="00CB6129">
        <w:rPr>
          <w:lang w:val="en-US"/>
        </w:rPr>
        <w:t>,</w:t>
      </w:r>
      <w:r w:rsidR="00FF408F" w:rsidRPr="00CB6129">
        <w:rPr>
          <w:lang w:val="en-US"/>
        </w:rPr>
        <w:t xml:space="preserve"> defined the territory </w:t>
      </w:r>
      <w:r w:rsidR="001F0B63" w:rsidRPr="00CB6129">
        <w:rPr>
          <w:lang w:val="en-US"/>
        </w:rPr>
        <w:t>it covered and elaborated its main provisions.</w:t>
      </w:r>
      <w:r w:rsidR="00C421C5" w:rsidRPr="00CB6129">
        <w:rPr>
          <w:rStyle w:val="Appelnotedebasdep"/>
          <w:lang w:val="en-US"/>
        </w:rPr>
        <w:footnoteReference w:id="6"/>
      </w:r>
      <w:r w:rsidR="001F0B63" w:rsidRPr="00CB6129">
        <w:rPr>
          <w:lang w:val="en-US"/>
        </w:rPr>
        <w:t xml:space="preserve"> The second agreement was a treaty in July 1903 that </w:t>
      </w:r>
      <w:r w:rsidR="00F561D3" w:rsidRPr="00CB6129">
        <w:rPr>
          <w:lang w:val="en-US"/>
        </w:rPr>
        <w:t xml:space="preserve">contained additional </w:t>
      </w:r>
      <w:r w:rsidR="003C732F" w:rsidRPr="00CB6129">
        <w:rPr>
          <w:lang w:val="en-US"/>
        </w:rPr>
        <w:t>clauses</w:t>
      </w:r>
      <w:r w:rsidR="00F561D3" w:rsidRPr="00CB6129">
        <w:rPr>
          <w:lang w:val="en-US"/>
        </w:rPr>
        <w:t>.</w:t>
      </w:r>
      <w:r w:rsidR="00C421C5" w:rsidRPr="00CB6129">
        <w:rPr>
          <w:rStyle w:val="Appelnotedebasdep"/>
          <w:lang w:val="en-US"/>
        </w:rPr>
        <w:footnoteReference w:id="7"/>
      </w:r>
      <w:r w:rsidR="00F561D3" w:rsidRPr="00CB6129">
        <w:rPr>
          <w:lang w:val="en-US"/>
        </w:rPr>
        <w:t xml:space="preserve"> A subsequent </w:t>
      </w:r>
      <w:r w:rsidR="00050F14" w:rsidRPr="00CB6129">
        <w:rPr>
          <w:lang w:val="en-US"/>
        </w:rPr>
        <w:t xml:space="preserve">Treaty of Relations </w:t>
      </w:r>
      <w:r w:rsidR="00F561D3" w:rsidRPr="00CB6129">
        <w:rPr>
          <w:lang w:val="en-US"/>
        </w:rPr>
        <w:t xml:space="preserve">in 1934 </w:t>
      </w:r>
      <w:r w:rsidR="00C43B75" w:rsidRPr="00CB6129">
        <w:rPr>
          <w:lang w:val="en-US"/>
        </w:rPr>
        <w:t xml:space="preserve">clarified how the lease may be terminated and </w:t>
      </w:r>
      <w:r w:rsidR="00C421C5" w:rsidRPr="00CB6129">
        <w:rPr>
          <w:lang w:val="en-US"/>
        </w:rPr>
        <w:t>re</w:t>
      </w:r>
      <w:r w:rsidR="00C43B75" w:rsidRPr="00CB6129">
        <w:rPr>
          <w:lang w:val="en-US"/>
        </w:rPr>
        <w:t>con</w:t>
      </w:r>
      <w:r w:rsidR="00C421C5" w:rsidRPr="00CB6129">
        <w:rPr>
          <w:lang w:val="en-US"/>
        </w:rPr>
        <w:t xml:space="preserve">firmed the </w:t>
      </w:r>
      <w:r w:rsidR="00C43B75" w:rsidRPr="00CB6129">
        <w:rPr>
          <w:lang w:val="en-US"/>
        </w:rPr>
        <w:t xml:space="preserve">terms of the two </w:t>
      </w:r>
      <w:r w:rsidR="00C421C5" w:rsidRPr="00CB6129">
        <w:rPr>
          <w:lang w:val="en-US"/>
        </w:rPr>
        <w:t xml:space="preserve">1903 </w:t>
      </w:r>
      <w:r w:rsidR="00C43B75" w:rsidRPr="00CB6129">
        <w:rPr>
          <w:lang w:val="en-US"/>
        </w:rPr>
        <w:t>agreements</w:t>
      </w:r>
      <w:r w:rsidR="009670B0" w:rsidRPr="00CB6129">
        <w:rPr>
          <w:lang w:val="en-US"/>
        </w:rPr>
        <w:t xml:space="preserve"> as t</w:t>
      </w:r>
      <w:r w:rsidR="00C43B75" w:rsidRPr="00CB6129">
        <w:rPr>
          <w:lang w:val="en-US"/>
        </w:rPr>
        <w:t xml:space="preserve">he </w:t>
      </w:r>
      <w:r w:rsidR="00F561D3" w:rsidRPr="00CB6129">
        <w:rPr>
          <w:lang w:val="en-US"/>
        </w:rPr>
        <w:t>operative legal instruments that constitute the lease.</w:t>
      </w:r>
      <w:r w:rsidR="006F237D" w:rsidRPr="00CB6129">
        <w:rPr>
          <w:rStyle w:val="Appelnotedebasdep"/>
          <w:lang w:val="en-US"/>
        </w:rPr>
        <w:footnoteReference w:id="8"/>
      </w:r>
      <w:r w:rsidR="006F237D" w:rsidRPr="00CB6129">
        <w:rPr>
          <w:lang w:val="en-US"/>
        </w:rPr>
        <w:t xml:space="preserve"> </w:t>
      </w:r>
      <w:r w:rsidR="00AF0ED9" w:rsidRPr="00CB6129">
        <w:rPr>
          <w:lang w:val="en-US"/>
        </w:rPr>
        <w:t xml:space="preserve"> </w:t>
      </w:r>
    </w:p>
    <w:p w:rsidR="004A6A4A" w:rsidRPr="00CB6129" w:rsidRDefault="000F0D79">
      <w:pPr>
        <w:rPr>
          <w:lang w:val="en-US"/>
        </w:rPr>
      </w:pPr>
      <w:r w:rsidRPr="00CB6129">
        <w:rPr>
          <w:lang w:val="en-US"/>
        </w:rPr>
        <w:tab/>
      </w:r>
      <w:r w:rsidR="00542ADF" w:rsidRPr="00CB6129">
        <w:rPr>
          <w:lang w:val="en-US"/>
        </w:rPr>
        <w:t xml:space="preserve">The </w:t>
      </w:r>
      <w:r w:rsidR="009670B0" w:rsidRPr="00CB6129">
        <w:rPr>
          <w:lang w:val="en-US"/>
        </w:rPr>
        <w:t>U</w:t>
      </w:r>
      <w:r w:rsidR="00542ADF" w:rsidRPr="00CB6129">
        <w:rPr>
          <w:lang w:val="en-US"/>
        </w:rPr>
        <w:t xml:space="preserve">.S. and Cuban </w:t>
      </w:r>
      <w:r w:rsidRPr="00CB6129">
        <w:rPr>
          <w:lang w:val="en-US"/>
        </w:rPr>
        <w:t xml:space="preserve">legal </w:t>
      </w:r>
      <w:r w:rsidR="00427255" w:rsidRPr="00CB6129">
        <w:rPr>
          <w:lang w:val="en-US"/>
        </w:rPr>
        <w:t xml:space="preserve">relationships with </w:t>
      </w:r>
      <w:r w:rsidR="00542ADF" w:rsidRPr="00CB6129">
        <w:rPr>
          <w:lang w:val="en-US"/>
        </w:rPr>
        <w:t xml:space="preserve">the </w:t>
      </w:r>
      <w:r w:rsidR="00427255" w:rsidRPr="00CB6129">
        <w:rPr>
          <w:lang w:val="en-US"/>
        </w:rPr>
        <w:t>leased zone</w:t>
      </w:r>
      <w:r w:rsidR="00542ADF" w:rsidRPr="00CB6129">
        <w:rPr>
          <w:lang w:val="en-US"/>
        </w:rPr>
        <w:t xml:space="preserve"> were established by the executive agreement</w:t>
      </w:r>
      <w:r w:rsidR="009670B0" w:rsidRPr="00CB6129">
        <w:rPr>
          <w:lang w:val="en-US"/>
        </w:rPr>
        <w:t>, which</w:t>
      </w:r>
      <w:r w:rsidR="00542ADF" w:rsidRPr="00CB6129">
        <w:rPr>
          <w:lang w:val="en-US"/>
        </w:rPr>
        <w:t xml:space="preserve"> gave </w:t>
      </w:r>
      <w:r w:rsidR="00824573" w:rsidRPr="00CB6129">
        <w:rPr>
          <w:lang w:val="en-US"/>
        </w:rPr>
        <w:t>the United States</w:t>
      </w:r>
      <w:r w:rsidR="00542ADF" w:rsidRPr="00CB6129">
        <w:rPr>
          <w:lang w:val="en-US"/>
        </w:rPr>
        <w:t xml:space="preserve"> </w:t>
      </w:r>
      <w:r w:rsidR="00824573" w:rsidRPr="00CB6129">
        <w:rPr>
          <w:lang w:val="en-US"/>
        </w:rPr>
        <w:t xml:space="preserve">“complete jurisdiction and control” at Guantanamo Bay for the duration of the </w:t>
      </w:r>
      <w:r w:rsidRPr="00CB6129">
        <w:rPr>
          <w:lang w:val="en-US"/>
        </w:rPr>
        <w:t>lease</w:t>
      </w:r>
      <w:r w:rsidR="00824573" w:rsidRPr="00CB6129">
        <w:rPr>
          <w:lang w:val="en-US"/>
        </w:rPr>
        <w:t xml:space="preserve"> while affirming that Cuba had “ultimate sovereignty” over the territory.</w:t>
      </w:r>
      <w:r w:rsidR="00C421C5" w:rsidRPr="00CB6129">
        <w:rPr>
          <w:rStyle w:val="Appelnotedebasdep"/>
          <w:lang w:val="en-US"/>
        </w:rPr>
        <w:footnoteReference w:id="9"/>
      </w:r>
      <w:r w:rsidR="00542ADF" w:rsidRPr="00CB6129">
        <w:rPr>
          <w:lang w:val="en-US"/>
        </w:rPr>
        <w:t xml:space="preserve"> </w:t>
      </w:r>
      <w:r w:rsidR="006F237D" w:rsidRPr="00CB6129">
        <w:rPr>
          <w:lang w:val="en-US"/>
        </w:rPr>
        <w:t>This agreement fixed t</w:t>
      </w:r>
      <w:r w:rsidR="000F1B00" w:rsidRPr="00CB6129">
        <w:rPr>
          <w:lang w:val="en-US"/>
        </w:rPr>
        <w:t xml:space="preserve">he </w:t>
      </w:r>
      <w:r w:rsidR="006F237D" w:rsidRPr="00CB6129">
        <w:rPr>
          <w:lang w:val="en-US"/>
        </w:rPr>
        <w:t xml:space="preserve">lease’s </w:t>
      </w:r>
      <w:r w:rsidR="000F1B00" w:rsidRPr="00CB6129">
        <w:rPr>
          <w:lang w:val="en-US"/>
        </w:rPr>
        <w:t>duration not in years but as “the time required for the purposes of coaling and naval stations.”</w:t>
      </w:r>
      <w:r w:rsidR="000F1B00" w:rsidRPr="00CB6129">
        <w:rPr>
          <w:rStyle w:val="Appelnotedebasdep"/>
          <w:lang w:val="en-US"/>
        </w:rPr>
        <w:footnoteReference w:id="10"/>
      </w:r>
      <w:r w:rsidR="000F1B00" w:rsidRPr="00CB6129">
        <w:rPr>
          <w:lang w:val="en-US"/>
        </w:rPr>
        <w:t xml:space="preserve"> </w:t>
      </w:r>
      <w:r w:rsidR="00542ADF" w:rsidRPr="00CB6129">
        <w:rPr>
          <w:lang w:val="en-US"/>
        </w:rPr>
        <w:t>Cuba</w:t>
      </w:r>
      <w:r w:rsidR="00427255" w:rsidRPr="00CB6129">
        <w:rPr>
          <w:lang w:val="en-US"/>
        </w:rPr>
        <w:t xml:space="preserve"> potential</w:t>
      </w:r>
      <w:r w:rsidR="00542ADF" w:rsidRPr="00CB6129">
        <w:rPr>
          <w:lang w:val="en-US"/>
        </w:rPr>
        <w:t xml:space="preserve"> to </w:t>
      </w:r>
      <w:r w:rsidRPr="00CB6129">
        <w:rPr>
          <w:lang w:val="en-US"/>
        </w:rPr>
        <w:t>actively display any form of sovereign</w:t>
      </w:r>
      <w:r w:rsidR="000F1B00" w:rsidRPr="00CB6129">
        <w:rPr>
          <w:lang w:val="en-US"/>
        </w:rPr>
        <w:t xml:space="preserve"> authorit</w:t>
      </w:r>
      <w:r w:rsidRPr="00CB6129">
        <w:rPr>
          <w:lang w:val="en-US"/>
        </w:rPr>
        <w:t>y there w</w:t>
      </w:r>
      <w:r w:rsidR="00542ADF" w:rsidRPr="00CB6129">
        <w:rPr>
          <w:lang w:val="en-US"/>
        </w:rPr>
        <w:t xml:space="preserve">as precluded </w:t>
      </w:r>
      <w:r w:rsidR="00C43B75" w:rsidRPr="00CB6129">
        <w:rPr>
          <w:lang w:val="en-US"/>
        </w:rPr>
        <w:t xml:space="preserve">in Cuban domestic law </w:t>
      </w:r>
      <w:r w:rsidR="00542ADF" w:rsidRPr="00CB6129">
        <w:rPr>
          <w:lang w:val="en-US"/>
        </w:rPr>
        <w:t xml:space="preserve">by a </w:t>
      </w:r>
      <w:r w:rsidRPr="00CB6129">
        <w:rPr>
          <w:lang w:val="en-US"/>
        </w:rPr>
        <w:t xml:space="preserve">1934 </w:t>
      </w:r>
      <w:r w:rsidR="00427255" w:rsidRPr="00CB6129">
        <w:rPr>
          <w:lang w:val="en-US"/>
        </w:rPr>
        <w:t xml:space="preserve">court </w:t>
      </w:r>
      <w:r w:rsidR="00C43B75" w:rsidRPr="00CB6129">
        <w:rPr>
          <w:lang w:val="en-US"/>
        </w:rPr>
        <w:t>judgment</w:t>
      </w:r>
      <w:r w:rsidR="00542ADF" w:rsidRPr="00CB6129">
        <w:rPr>
          <w:lang w:val="en-US"/>
        </w:rPr>
        <w:t xml:space="preserve"> </w:t>
      </w:r>
      <w:r w:rsidRPr="00CB6129">
        <w:rPr>
          <w:lang w:val="en-US"/>
        </w:rPr>
        <w:t>t</w:t>
      </w:r>
      <w:r w:rsidR="00542ADF" w:rsidRPr="00CB6129">
        <w:rPr>
          <w:lang w:val="en-US"/>
        </w:rPr>
        <w:t>hat</w:t>
      </w:r>
      <w:r w:rsidRPr="00CB6129">
        <w:rPr>
          <w:lang w:val="en-US"/>
        </w:rPr>
        <w:t xml:space="preserve"> </w:t>
      </w:r>
      <w:r w:rsidR="00C43B75" w:rsidRPr="00CB6129">
        <w:rPr>
          <w:lang w:val="en-US"/>
        </w:rPr>
        <w:t xml:space="preserve">required </w:t>
      </w:r>
      <w:r w:rsidRPr="00CB6129">
        <w:rPr>
          <w:lang w:val="en-US"/>
        </w:rPr>
        <w:t xml:space="preserve">Cuba </w:t>
      </w:r>
      <w:r w:rsidR="00C43B75" w:rsidRPr="00CB6129">
        <w:rPr>
          <w:lang w:val="en-US"/>
        </w:rPr>
        <w:t>to</w:t>
      </w:r>
      <w:r w:rsidRPr="00CB6129">
        <w:rPr>
          <w:lang w:val="en-US"/>
        </w:rPr>
        <w:t xml:space="preserve"> consider Guantanamo Bay as foreign territory.</w:t>
      </w:r>
      <w:r w:rsidR="00A5002F" w:rsidRPr="00CB6129">
        <w:rPr>
          <w:rStyle w:val="Appelnotedebasdep"/>
          <w:lang w:val="en-US"/>
        </w:rPr>
        <w:footnoteReference w:id="11"/>
      </w:r>
      <w:r w:rsidRPr="00CB6129">
        <w:rPr>
          <w:lang w:val="en-US"/>
        </w:rPr>
        <w:t xml:space="preserve"> </w:t>
      </w:r>
      <w:r w:rsidR="00427255" w:rsidRPr="00CB6129">
        <w:rPr>
          <w:lang w:val="en-US"/>
        </w:rPr>
        <w:t>U</w:t>
      </w:r>
      <w:r w:rsidR="004A6A4A" w:rsidRPr="00CB6129">
        <w:rPr>
          <w:lang w:val="en-US"/>
        </w:rPr>
        <w:t xml:space="preserve">.S. court rulings </w:t>
      </w:r>
      <w:r w:rsidR="00427255" w:rsidRPr="00CB6129">
        <w:rPr>
          <w:lang w:val="en-US"/>
        </w:rPr>
        <w:t xml:space="preserve">eventually </w:t>
      </w:r>
      <w:r w:rsidR="004A6A4A" w:rsidRPr="00CB6129">
        <w:rPr>
          <w:lang w:val="en-US"/>
        </w:rPr>
        <w:t xml:space="preserve">deemed the </w:t>
      </w:r>
      <w:r w:rsidR="00427255" w:rsidRPr="00CB6129">
        <w:rPr>
          <w:lang w:val="en-US"/>
        </w:rPr>
        <w:t>area t</w:t>
      </w:r>
      <w:r w:rsidR="004A6A4A" w:rsidRPr="00CB6129">
        <w:rPr>
          <w:lang w:val="en-US"/>
        </w:rPr>
        <w:t xml:space="preserve">o be under the </w:t>
      </w:r>
      <w:r w:rsidR="004A6A4A" w:rsidRPr="00CB6129">
        <w:rPr>
          <w:i/>
          <w:lang w:val="en-US"/>
        </w:rPr>
        <w:t>de facto</w:t>
      </w:r>
      <w:r w:rsidR="004A6A4A" w:rsidRPr="00CB6129">
        <w:rPr>
          <w:lang w:val="en-US"/>
        </w:rPr>
        <w:t xml:space="preserve"> sovereignty of the United States</w:t>
      </w:r>
      <w:r w:rsidR="00427255" w:rsidRPr="00CB6129">
        <w:rPr>
          <w:lang w:val="en-US"/>
        </w:rPr>
        <w:t>,</w:t>
      </w:r>
      <w:r w:rsidR="00C421C5" w:rsidRPr="00CB6129">
        <w:rPr>
          <w:rStyle w:val="Appelnotedebasdep"/>
          <w:lang w:val="en-US"/>
        </w:rPr>
        <w:footnoteReference w:id="12"/>
      </w:r>
      <w:r w:rsidR="00427255" w:rsidRPr="00CB6129">
        <w:rPr>
          <w:lang w:val="en-US"/>
        </w:rPr>
        <w:t xml:space="preserve"> </w:t>
      </w:r>
      <w:r w:rsidR="006F237D" w:rsidRPr="00CB6129">
        <w:rPr>
          <w:lang w:val="en-US"/>
        </w:rPr>
        <w:t xml:space="preserve">which has </w:t>
      </w:r>
      <w:r w:rsidR="00427255" w:rsidRPr="00CB6129">
        <w:rPr>
          <w:lang w:val="en-US"/>
        </w:rPr>
        <w:t xml:space="preserve">continued to affirm Cuba’s </w:t>
      </w:r>
      <w:r w:rsidR="00427255" w:rsidRPr="00CB6129">
        <w:rPr>
          <w:i/>
          <w:lang w:val="en-US"/>
        </w:rPr>
        <w:t>de jure</w:t>
      </w:r>
      <w:r w:rsidR="00427255" w:rsidRPr="00CB6129">
        <w:rPr>
          <w:lang w:val="en-US"/>
        </w:rPr>
        <w:t xml:space="preserve"> sovereignty there.</w:t>
      </w:r>
    </w:p>
    <w:p w:rsidR="00DF2EDF" w:rsidRPr="00CB6129" w:rsidRDefault="00AF0ED9" w:rsidP="00AF0ED9">
      <w:pPr>
        <w:rPr>
          <w:lang w:val="en-US"/>
        </w:rPr>
      </w:pPr>
      <w:r w:rsidRPr="00CB6129">
        <w:rPr>
          <w:lang w:val="en-US"/>
        </w:rPr>
        <w:tab/>
      </w:r>
      <w:r w:rsidR="00427255" w:rsidRPr="00CB6129">
        <w:rPr>
          <w:lang w:val="en-US"/>
        </w:rPr>
        <w:t xml:space="preserve">For a number of years after the </w:t>
      </w:r>
      <w:r w:rsidR="009D2A5C" w:rsidRPr="00CB6129">
        <w:rPr>
          <w:lang w:val="en-US"/>
        </w:rPr>
        <w:t>Revolution, Cuba argued t</w:t>
      </w:r>
      <w:r w:rsidRPr="00CB6129">
        <w:rPr>
          <w:lang w:val="en-US"/>
        </w:rPr>
        <w:t xml:space="preserve">hat the lease </w:t>
      </w:r>
      <w:r w:rsidR="00DF2EDF" w:rsidRPr="00CB6129">
        <w:rPr>
          <w:lang w:val="en-US"/>
        </w:rPr>
        <w:t>wa</w:t>
      </w:r>
      <w:r w:rsidRPr="00CB6129">
        <w:rPr>
          <w:lang w:val="en-US"/>
        </w:rPr>
        <w:t>s void on various grounds</w:t>
      </w:r>
      <w:r w:rsidR="009D2A5C" w:rsidRPr="00CB6129">
        <w:rPr>
          <w:lang w:val="en-US"/>
        </w:rPr>
        <w:t xml:space="preserve"> that were</w:t>
      </w:r>
      <w:r w:rsidR="004A6A4A" w:rsidRPr="00CB6129">
        <w:rPr>
          <w:lang w:val="en-US"/>
        </w:rPr>
        <w:t xml:space="preserve"> based on Cuban</w:t>
      </w:r>
      <w:r w:rsidRPr="00CB6129">
        <w:rPr>
          <w:lang w:val="en-US"/>
        </w:rPr>
        <w:t xml:space="preserve"> and international law, although it </w:t>
      </w:r>
      <w:r w:rsidR="006F237D" w:rsidRPr="00CB6129">
        <w:rPr>
          <w:lang w:val="en-US"/>
        </w:rPr>
        <w:t xml:space="preserve">did not initiate any formal </w:t>
      </w:r>
      <w:r w:rsidR="00385856" w:rsidRPr="00CB6129">
        <w:rPr>
          <w:lang w:val="en-US"/>
        </w:rPr>
        <w:t xml:space="preserve">legal </w:t>
      </w:r>
      <w:r w:rsidR="006F237D" w:rsidRPr="00CB6129">
        <w:rPr>
          <w:lang w:val="en-US"/>
        </w:rPr>
        <w:t>process</w:t>
      </w:r>
      <w:r w:rsidR="00385856" w:rsidRPr="00CB6129">
        <w:rPr>
          <w:lang w:val="en-US"/>
        </w:rPr>
        <w:t xml:space="preserve"> </w:t>
      </w:r>
      <w:r w:rsidR="00E240F4" w:rsidRPr="00CB6129">
        <w:rPr>
          <w:lang w:val="en-US"/>
        </w:rPr>
        <w:t xml:space="preserve">to enforce </w:t>
      </w:r>
      <w:r w:rsidRPr="00CB6129">
        <w:rPr>
          <w:lang w:val="en-US"/>
        </w:rPr>
        <w:t>that position</w:t>
      </w:r>
      <w:r w:rsidR="00DF2EDF" w:rsidRPr="00CB6129">
        <w:rPr>
          <w:lang w:val="en-US"/>
        </w:rPr>
        <w:t>.</w:t>
      </w:r>
      <w:r w:rsidR="00050F14" w:rsidRPr="00CB6129">
        <w:rPr>
          <w:rStyle w:val="Appelnotedebasdep"/>
          <w:lang w:val="en-US"/>
        </w:rPr>
        <w:footnoteReference w:id="13"/>
      </w:r>
      <w:r w:rsidR="00DF2EDF" w:rsidRPr="00CB6129">
        <w:rPr>
          <w:lang w:val="en-US"/>
        </w:rPr>
        <w:t xml:space="preserve"> </w:t>
      </w:r>
      <w:r w:rsidR="00EA2BA6" w:rsidRPr="00CB6129">
        <w:rPr>
          <w:lang w:val="en-US"/>
        </w:rPr>
        <w:t xml:space="preserve">Cuba’s stance later became more </w:t>
      </w:r>
      <w:r w:rsidR="00DF2EDF" w:rsidRPr="00CB6129">
        <w:rPr>
          <w:lang w:val="en-US"/>
        </w:rPr>
        <w:t>ambiguous</w:t>
      </w:r>
      <w:r w:rsidR="00EA2BA6" w:rsidRPr="00CB6129">
        <w:rPr>
          <w:lang w:val="en-US"/>
        </w:rPr>
        <w:t>,</w:t>
      </w:r>
      <w:r w:rsidR="00DF2EDF" w:rsidRPr="00CB6129">
        <w:rPr>
          <w:lang w:val="en-US"/>
        </w:rPr>
        <w:t xml:space="preserve"> and at times it appears to accept the arrangement as </w:t>
      </w:r>
      <w:r w:rsidR="009D2A5C" w:rsidRPr="00CB6129">
        <w:rPr>
          <w:lang w:val="en-US"/>
        </w:rPr>
        <w:t xml:space="preserve">legally </w:t>
      </w:r>
      <w:r w:rsidR="00DF2EDF" w:rsidRPr="00CB6129">
        <w:rPr>
          <w:lang w:val="en-US"/>
        </w:rPr>
        <w:t>valid, as in the following statement</w:t>
      </w:r>
      <w:r w:rsidR="00EA2BA6" w:rsidRPr="00CB6129">
        <w:rPr>
          <w:lang w:val="en-US"/>
        </w:rPr>
        <w:t xml:space="preserve"> from the Ministry of Foreign Relations in 2004</w:t>
      </w:r>
      <w:r w:rsidR="00DF2EDF" w:rsidRPr="00CB6129">
        <w:rPr>
          <w:lang w:val="en-US"/>
        </w:rPr>
        <w:t>:</w:t>
      </w:r>
    </w:p>
    <w:p w:rsidR="00EA2BA6" w:rsidRPr="00CB6129" w:rsidRDefault="00EA2BA6" w:rsidP="00AF0ED9">
      <w:pPr>
        <w:rPr>
          <w:rFonts w:cs="Times New Roman"/>
          <w:szCs w:val="24"/>
          <w:lang w:val="en-US"/>
        </w:rPr>
      </w:pPr>
    </w:p>
    <w:p w:rsidR="00EA2BA6" w:rsidRPr="00CB6129" w:rsidRDefault="00EA2BA6" w:rsidP="00EA2BA6">
      <w:pPr>
        <w:autoSpaceDE w:val="0"/>
        <w:autoSpaceDN w:val="0"/>
        <w:adjustRightInd w:val="0"/>
        <w:rPr>
          <w:rFonts w:cs="Times New Roman"/>
          <w:szCs w:val="24"/>
          <w:lang w:val="en-US"/>
        </w:rPr>
      </w:pPr>
      <w:r w:rsidRPr="00CB6129">
        <w:rPr>
          <w:rFonts w:cs="Times New Roman"/>
          <w:szCs w:val="24"/>
          <w:lang w:val="en-US"/>
        </w:rPr>
        <w:tab/>
        <w:t xml:space="preserve">The Cuban government’s position as to the legal situation of the American </w:t>
      </w:r>
    </w:p>
    <w:p w:rsidR="00EA2BA6" w:rsidRPr="00CB6129" w:rsidRDefault="00EA2BA6" w:rsidP="00EA2BA6">
      <w:pPr>
        <w:autoSpaceDE w:val="0"/>
        <w:autoSpaceDN w:val="0"/>
        <w:adjustRightInd w:val="0"/>
        <w:rPr>
          <w:rFonts w:cs="Times New Roman"/>
          <w:szCs w:val="24"/>
          <w:lang w:val="en-US"/>
        </w:rPr>
      </w:pPr>
      <w:r w:rsidRPr="00CB6129">
        <w:rPr>
          <w:rFonts w:cs="Times New Roman"/>
          <w:szCs w:val="24"/>
          <w:lang w:val="en-US"/>
        </w:rPr>
        <w:tab/>
        <w:t>Naval Base at Guantanamo is that, by being in the legal form of a lease, it</w:t>
      </w:r>
    </w:p>
    <w:p w:rsidR="00EA2BA6" w:rsidRPr="00CB6129" w:rsidRDefault="00EA2BA6" w:rsidP="00EA2BA6">
      <w:pPr>
        <w:autoSpaceDE w:val="0"/>
        <w:autoSpaceDN w:val="0"/>
        <w:adjustRightInd w:val="0"/>
        <w:rPr>
          <w:rFonts w:cs="Times New Roman"/>
          <w:szCs w:val="24"/>
          <w:lang w:val="en-US"/>
        </w:rPr>
      </w:pPr>
      <w:r w:rsidRPr="00CB6129">
        <w:rPr>
          <w:rFonts w:cs="Times New Roman"/>
          <w:szCs w:val="24"/>
          <w:lang w:val="en-US"/>
        </w:rPr>
        <w:tab/>
      </w:r>
      <w:proofErr w:type="gramStart"/>
      <w:r w:rsidRPr="00CB6129">
        <w:rPr>
          <w:rFonts w:cs="Times New Roman"/>
          <w:szCs w:val="24"/>
          <w:lang w:val="en-US"/>
        </w:rPr>
        <w:t>does</w:t>
      </w:r>
      <w:proofErr w:type="gramEnd"/>
      <w:r w:rsidRPr="00CB6129">
        <w:rPr>
          <w:rFonts w:cs="Times New Roman"/>
          <w:szCs w:val="24"/>
          <w:lang w:val="en-US"/>
        </w:rPr>
        <w:t xml:space="preserve"> not grant a perpetual right but a temporary one over that part of our</w:t>
      </w:r>
    </w:p>
    <w:p w:rsidR="00EA2BA6" w:rsidRPr="00CB6129" w:rsidRDefault="00EA2BA6" w:rsidP="00EA2BA6">
      <w:pPr>
        <w:autoSpaceDE w:val="0"/>
        <w:autoSpaceDN w:val="0"/>
        <w:adjustRightInd w:val="0"/>
        <w:rPr>
          <w:rFonts w:cs="Times New Roman"/>
          <w:szCs w:val="24"/>
          <w:lang w:val="en-US"/>
        </w:rPr>
      </w:pPr>
      <w:r w:rsidRPr="00CB6129">
        <w:rPr>
          <w:rFonts w:cs="Times New Roman"/>
          <w:szCs w:val="24"/>
          <w:lang w:val="en-US"/>
        </w:rPr>
        <w:tab/>
      </w:r>
      <w:proofErr w:type="gramStart"/>
      <w:r w:rsidRPr="00CB6129">
        <w:rPr>
          <w:rFonts w:cs="Times New Roman"/>
          <w:szCs w:val="24"/>
          <w:lang w:val="en-US"/>
        </w:rPr>
        <w:t>territory</w:t>
      </w:r>
      <w:proofErr w:type="gramEnd"/>
      <w:r w:rsidRPr="00CB6129">
        <w:rPr>
          <w:rFonts w:cs="Times New Roman"/>
          <w:szCs w:val="24"/>
          <w:lang w:val="en-US"/>
        </w:rPr>
        <w:t>, by which, in due course, as a just right of our people, the illegally</w:t>
      </w:r>
    </w:p>
    <w:p w:rsidR="00EA2BA6" w:rsidRPr="00CB6129" w:rsidRDefault="00EA2BA6" w:rsidP="00EA2BA6">
      <w:pPr>
        <w:autoSpaceDE w:val="0"/>
        <w:autoSpaceDN w:val="0"/>
        <w:adjustRightInd w:val="0"/>
        <w:rPr>
          <w:rFonts w:cs="Times New Roman"/>
          <w:szCs w:val="24"/>
          <w:lang w:val="en-US"/>
        </w:rPr>
      </w:pPr>
      <w:r w:rsidRPr="00CB6129">
        <w:rPr>
          <w:rFonts w:cs="Times New Roman"/>
          <w:szCs w:val="24"/>
          <w:lang w:val="en-US"/>
        </w:rPr>
        <w:tab/>
      </w:r>
      <w:proofErr w:type="gramStart"/>
      <w:r w:rsidRPr="00CB6129">
        <w:rPr>
          <w:rFonts w:cs="Times New Roman"/>
          <w:szCs w:val="24"/>
          <w:lang w:val="en-US"/>
        </w:rPr>
        <w:t>occupied</w:t>
      </w:r>
      <w:proofErr w:type="gramEnd"/>
      <w:r w:rsidRPr="00CB6129">
        <w:rPr>
          <w:rFonts w:cs="Times New Roman"/>
          <w:szCs w:val="24"/>
          <w:lang w:val="en-US"/>
        </w:rPr>
        <w:t xml:space="preserve"> territory of Guantanamo should be returned by peaceful means to</w:t>
      </w:r>
    </w:p>
    <w:p w:rsidR="00EA2BA6" w:rsidRPr="00CB6129" w:rsidRDefault="00EA2BA6" w:rsidP="00EA2BA6">
      <w:pPr>
        <w:rPr>
          <w:rFonts w:cs="Times New Roman"/>
          <w:szCs w:val="24"/>
          <w:lang w:val="en-US"/>
        </w:rPr>
      </w:pPr>
      <w:r w:rsidRPr="00CB6129">
        <w:rPr>
          <w:rFonts w:cs="Times New Roman"/>
          <w:szCs w:val="24"/>
        </w:rPr>
        <w:tab/>
        <w:t>Cuba.</w:t>
      </w:r>
      <w:r w:rsidRPr="00CB6129">
        <w:rPr>
          <w:rStyle w:val="Appelnotedebasdep"/>
          <w:rFonts w:cs="Times New Roman"/>
          <w:szCs w:val="24"/>
        </w:rPr>
        <w:footnoteReference w:id="14"/>
      </w:r>
    </w:p>
    <w:p w:rsidR="00BB125C" w:rsidRPr="00CB6129" w:rsidRDefault="00BB125C" w:rsidP="00AF0ED9">
      <w:pPr>
        <w:rPr>
          <w:rFonts w:cs="Times New Roman"/>
          <w:szCs w:val="24"/>
          <w:lang w:val="en-US"/>
        </w:rPr>
      </w:pPr>
    </w:p>
    <w:p w:rsidR="00626D19" w:rsidRPr="00CB6129" w:rsidRDefault="00EA2BA6" w:rsidP="00AF0ED9">
      <w:pPr>
        <w:rPr>
          <w:rFonts w:cs="Times New Roman"/>
          <w:szCs w:val="24"/>
          <w:lang w:val="en-US"/>
        </w:rPr>
      </w:pPr>
      <w:r w:rsidRPr="00CB6129">
        <w:rPr>
          <w:rFonts w:cs="Times New Roman"/>
          <w:szCs w:val="24"/>
          <w:lang w:val="en-US"/>
        </w:rPr>
        <w:tab/>
      </w:r>
      <w:r w:rsidR="00702333" w:rsidRPr="00CB6129">
        <w:rPr>
          <w:rFonts w:cs="Times New Roman"/>
          <w:szCs w:val="24"/>
          <w:lang w:val="en-US"/>
        </w:rPr>
        <w:t>A nuanced version of this statement</w:t>
      </w:r>
      <w:r w:rsidR="006F237D" w:rsidRPr="00CB6129">
        <w:rPr>
          <w:rFonts w:cs="Times New Roman"/>
          <w:szCs w:val="24"/>
          <w:lang w:val="en-US"/>
        </w:rPr>
        <w:t xml:space="preserve">, </w:t>
      </w:r>
      <w:r w:rsidR="00702333" w:rsidRPr="00CB6129">
        <w:rPr>
          <w:rFonts w:cs="Times New Roman"/>
          <w:szCs w:val="24"/>
          <w:lang w:val="en-US"/>
        </w:rPr>
        <w:t>currently on the ministry’s website</w:t>
      </w:r>
      <w:r w:rsidR="006F237D" w:rsidRPr="00CB6129">
        <w:rPr>
          <w:rFonts w:cs="Times New Roman"/>
          <w:szCs w:val="24"/>
          <w:lang w:val="en-US"/>
        </w:rPr>
        <w:t>,</w:t>
      </w:r>
      <w:r w:rsidR="00702333" w:rsidRPr="00CB6129">
        <w:rPr>
          <w:rFonts w:cs="Times New Roman"/>
          <w:szCs w:val="24"/>
          <w:lang w:val="en-US"/>
        </w:rPr>
        <w:t xml:space="preserve"> </w:t>
      </w:r>
      <w:r w:rsidR="00385856" w:rsidRPr="00CB6129">
        <w:rPr>
          <w:rFonts w:cs="Times New Roman"/>
          <w:szCs w:val="24"/>
          <w:lang w:val="en-US"/>
        </w:rPr>
        <w:t>is less straightforward</w:t>
      </w:r>
      <w:r w:rsidR="00626D19" w:rsidRPr="00CB6129">
        <w:rPr>
          <w:rFonts w:cs="Times New Roman"/>
          <w:szCs w:val="24"/>
          <w:lang w:val="en-US"/>
        </w:rPr>
        <w:t xml:space="preserve">: </w:t>
      </w:r>
    </w:p>
    <w:p w:rsidR="00626D19" w:rsidRPr="00CB6129" w:rsidRDefault="00626D19" w:rsidP="00AF0ED9">
      <w:pPr>
        <w:rPr>
          <w:rFonts w:cs="Times New Roman"/>
          <w:szCs w:val="24"/>
          <w:lang w:val="en-US"/>
        </w:rPr>
      </w:pPr>
    </w:p>
    <w:p w:rsidR="00BB125C" w:rsidRPr="00CB6129" w:rsidRDefault="00BB125C" w:rsidP="00BB125C">
      <w:pPr>
        <w:rPr>
          <w:rFonts w:cs="Times New Roman"/>
          <w:szCs w:val="24"/>
          <w:shd w:val="clear" w:color="auto" w:fill="FFFFFF"/>
          <w:lang w:val="en-US"/>
        </w:rPr>
      </w:pPr>
      <w:r w:rsidRPr="00CB6129">
        <w:rPr>
          <w:rFonts w:cs="Times New Roman"/>
          <w:szCs w:val="24"/>
          <w:shd w:val="clear" w:color="auto" w:fill="FFFFFF"/>
          <w:lang w:val="en-US"/>
        </w:rPr>
        <w:tab/>
      </w:r>
      <w:r w:rsidR="00DF2EDF" w:rsidRPr="00CB6129">
        <w:rPr>
          <w:rFonts w:cs="Times New Roman"/>
          <w:szCs w:val="24"/>
          <w:shd w:val="clear" w:color="auto" w:fill="FFFFFF"/>
          <w:lang w:val="en-US"/>
        </w:rPr>
        <w:t xml:space="preserve">The Cuban government’s position on the legal status of the US base at </w:t>
      </w:r>
    </w:p>
    <w:p w:rsidR="00BB125C" w:rsidRPr="00CB6129" w:rsidRDefault="00BB125C" w:rsidP="00BB125C">
      <w:pPr>
        <w:rPr>
          <w:rFonts w:cs="Times New Roman"/>
          <w:szCs w:val="24"/>
          <w:shd w:val="clear" w:color="auto" w:fill="FFFFFF"/>
          <w:lang w:val="en-US"/>
        </w:rPr>
      </w:pPr>
      <w:r w:rsidRPr="00CB6129">
        <w:rPr>
          <w:rFonts w:cs="Times New Roman"/>
          <w:szCs w:val="24"/>
          <w:shd w:val="clear" w:color="auto" w:fill="FFFFFF"/>
          <w:lang w:val="en-US"/>
        </w:rPr>
        <w:tab/>
      </w:r>
      <w:r w:rsidR="00DF2EDF" w:rsidRPr="00CB6129">
        <w:rPr>
          <w:rFonts w:cs="Times New Roman"/>
          <w:szCs w:val="24"/>
          <w:shd w:val="clear" w:color="auto" w:fill="FFFFFF"/>
          <w:lang w:val="en-US"/>
        </w:rPr>
        <w:t xml:space="preserve">Guantánamo is that, since, legally speaking, it is derived from a lease, the </w:t>
      </w:r>
    </w:p>
    <w:p w:rsidR="00BB125C" w:rsidRPr="00CB6129" w:rsidRDefault="00BB125C" w:rsidP="00BB125C">
      <w:pPr>
        <w:rPr>
          <w:rFonts w:cs="Times New Roman"/>
          <w:szCs w:val="24"/>
          <w:shd w:val="clear" w:color="auto" w:fill="FFFFFF"/>
          <w:lang w:val="en-US"/>
        </w:rPr>
      </w:pPr>
      <w:r w:rsidRPr="00CB6129">
        <w:rPr>
          <w:rFonts w:cs="Times New Roman"/>
          <w:szCs w:val="24"/>
          <w:shd w:val="clear" w:color="auto" w:fill="FFFFFF"/>
          <w:lang w:val="en-US"/>
        </w:rPr>
        <w:tab/>
      </w:r>
      <w:proofErr w:type="gramStart"/>
      <w:r w:rsidR="00DF2EDF" w:rsidRPr="00CB6129">
        <w:rPr>
          <w:rFonts w:cs="Times New Roman"/>
          <w:szCs w:val="24"/>
          <w:shd w:val="clear" w:color="auto" w:fill="FFFFFF"/>
          <w:lang w:val="en-US"/>
        </w:rPr>
        <w:t>leaseholders</w:t>
      </w:r>
      <w:proofErr w:type="gramEnd"/>
      <w:r w:rsidR="00DF2EDF" w:rsidRPr="00CB6129">
        <w:rPr>
          <w:rFonts w:cs="Times New Roman"/>
          <w:szCs w:val="24"/>
          <w:shd w:val="clear" w:color="auto" w:fill="FFFFFF"/>
          <w:lang w:val="en-US"/>
        </w:rPr>
        <w:t xml:space="preserve"> were ceded a temporary and not perpetual right over this part </w:t>
      </w:r>
    </w:p>
    <w:p w:rsidR="00BB125C" w:rsidRPr="00CB6129" w:rsidRDefault="00BB125C" w:rsidP="00BB125C">
      <w:pPr>
        <w:rPr>
          <w:rFonts w:cs="Times New Roman"/>
          <w:szCs w:val="24"/>
          <w:shd w:val="clear" w:color="auto" w:fill="FFFFFF"/>
          <w:lang w:val="en-US"/>
        </w:rPr>
      </w:pPr>
      <w:r w:rsidRPr="00CB6129">
        <w:rPr>
          <w:rFonts w:cs="Times New Roman"/>
          <w:szCs w:val="24"/>
          <w:shd w:val="clear" w:color="auto" w:fill="FFFFFF"/>
          <w:lang w:val="en-US"/>
        </w:rPr>
        <w:tab/>
      </w:r>
      <w:proofErr w:type="gramStart"/>
      <w:r w:rsidR="00DF2EDF" w:rsidRPr="00CB6129">
        <w:rPr>
          <w:rFonts w:cs="Times New Roman"/>
          <w:szCs w:val="24"/>
          <w:shd w:val="clear" w:color="auto" w:fill="FFFFFF"/>
          <w:lang w:val="en-US"/>
        </w:rPr>
        <w:t>of</w:t>
      </w:r>
      <w:proofErr w:type="gramEnd"/>
      <w:r w:rsidR="00DF2EDF" w:rsidRPr="00CB6129">
        <w:rPr>
          <w:rFonts w:cs="Times New Roman"/>
          <w:szCs w:val="24"/>
          <w:shd w:val="clear" w:color="auto" w:fill="FFFFFF"/>
          <w:lang w:val="en-US"/>
        </w:rPr>
        <w:t xml:space="preserve"> our territory, and that justice for our people demands that, in due course, </w:t>
      </w:r>
    </w:p>
    <w:p w:rsidR="00DF2EDF" w:rsidRPr="00CB6129" w:rsidRDefault="00BB125C" w:rsidP="00BB125C">
      <w:pPr>
        <w:rPr>
          <w:rFonts w:cs="Times New Roman"/>
          <w:szCs w:val="24"/>
          <w:lang w:val="en-US"/>
        </w:rPr>
      </w:pPr>
      <w:r w:rsidRPr="00CB6129">
        <w:rPr>
          <w:rFonts w:cs="Times New Roman"/>
          <w:szCs w:val="24"/>
          <w:shd w:val="clear" w:color="auto" w:fill="FFFFFF"/>
          <w:lang w:val="en-US"/>
        </w:rPr>
        <w:tab/>
      </w:r>
      <w:proofErr w:type="gramStart"/>
      <w:r w:rsidR="00DF2EDF" w:rsidRPr="00CB6129">
        <w:rPr>
          <w:rFonts w:cs="Times New Roman"/>
          <w:szCs w:val="24"/>
          <w:shd w:val="clear" w:color="auto" w:fill="FFFFFF"/>
          <w:lang w:val="en-US"/>
        </w:rPr>
        <w:t>it</w:t>
      </w:r>
      <w:proofErr w:type="gramEnd"/>
      <w:r w:rsidR="00DF2EDF" w:rsidRPr="00CB6129">
        <w:rPr>
          <w:rFonts w:cs="Times New Roman"/>
          <w:szCs w:val="24"/>
          <w:shd w:val="clear" w:color="auto" w:fill="FFFFFF"/>
          <w:lang w:val="en-US"/>
        </w:rPr>
        <w:t xml:space="preserve"> must be peacefully returned to Cuba.</w:t>
      </w:r>
      <w:r w:rsidR="00DF2EDF" w:rsidRPr="00CB6129">
        <w:rPr>
          <w:rStyle w:val="Appelnotedebasdep"/>
          <w:rFonts w:cs="Times New Roman"/>
          <w:szCs w:val="24"/>
          <w:shd w:val="clear" w:color="auto" w:fill="FFFFFF"/>
          <w:lang w:val="en-US"/>
        </w:rPr>
        <w:footnoteReference w:id="15"/>
      </w:r>
    </w:p>
    <w:p w:rsidR="00F561D3" w:rsidRPr="00CB6129" w:rsidRDefault="00F561D3">
      <w:pPr>
        <w:rPr>
          <w:lang w:val="en-US"/>
        </w:rPr>
      </w:pPr>
    </w:p>
    <w:p w:rsidR="00DF2EDF" w:rsidRPr="00CB6129" w:rsidRDefault="00626D19" w:rsidP="00DF2EDF">
      <w:pPr>
        <w:rPr>
          <w:lang w:val="en-US"/>
        </w:rPr>
      </w:pPr>
      <w:r w:rsidRPr="00CB6129">
        <w:rPr>
          <w:lang w:val="en-US"/>
        </w:rPr>
        <w:tab/>
      </w:r>
      <w:r w:rsidR="00DF2EDF" w:rsidRPr="00CB6129">
        <w:rPr>
          <w:lang w:val="en-US"/>
        </w:rPr>
        <w:t>The United States</w:t>
      </w:r>
      <w:r w:rsidRPr="00CB6129">
        <w:rPr>
          <w:lang w:val="en-US"/>
        </w:rPr>
        <w:t>, for its part,</w:t>
      </w:r>
      <w:r w:rsidR="00DF2EDF" w:rsidRPr="00CB6129">
        <w:rPr>
          <w:lang w:val="en-US"/>
        </w:rPr>
        <w:t xml:space="preserve"> has argued that the lease remains valid </w:t>
      </w:r>
      <w:r w:rsidRPr="00CB6129">
        <w:rPr>
          <w:lang w:val="en-US"/>
        </w:rPr>
        <w:t xml:space="preserve">as a </w:t>
      </w:r>
      <w:r w:rsidR="00DF2EDF" w:rsidRPr="00CB6129">
        <w:rPr>
          <w:lang w:val="en-US"/>
        </w:rPr>
        <w:t>bilateral a</w:t>
      </w:r>
      <w:r w:rsidRPr="00CB6129">
        <w:rPr>
          <w:lang w:val="en-US"/>
        </w:rPr>
        <w:t>greement under international law</w:t>
      </w:r>
      <w:r w:rsidR="00DF2EDF" w:rsidRPr="00CB6129">
        <w:rPr>
          <w:lang w:val="en-US"/>
        </w:rPr>
        <w:t>,</w:t>
      </w:r>
      <w:r w:rsidRPr="00CB6129">
        <w:rPr>
          <w:lang w:val="en-US"/>
        </w:rPr>
        <w:t xml:space="preserve"> generating an obligation for Cuba to comply, and that on this basis the continued U.S. presence at Guantanamo Bay is </w:t>
      </w:r>
      <w:r w:rsidR="006F237D" w:rsidRPr="00CB6129">
        <w:rPr>
          <w:lang w:val="en-US"/>
        </w:rPr>
        <w:t xml:space="preserve">also </w:t>
      </w:r>
      <w:r w:rsidRPr="00CB6129">
        <w:rPr>
          <w:lang w:val="en-US"/>
        </w:rPr>
        <w:t>legal.</w:t>
      </w:r>
      <w:r w:rsidR="00DF2EDF" w:rsidRPr="00CB6129">
        <w:rPr>
          <w:rStyle w:val="Appelnotedebasdep"/>
          <w:lang w:val="en-US"/>
        </w:rPr>
        <w:footnoteReference w:id="16"/>
      </w:r>
    </w:p>
    <w:p w:rsidR="008057CC" w:rsidRPr="00CB6129" w:rsidRDefault="003103BE" w:rsidP="008057CC">
      <w:pPr>
        <w:rPr>
          <w:rFonts w:cs="Times New Roman"/>
          <w:szCs w:val="24"/>
          <w:lang w:val="en-US"/>
        </w:rPr>
      </w:pPr>
      <w:r w:rsidRPr="00CB6129">
        <w:rPr>
          <w:lang w:val="en-US"/>
        </w:rPr>
        <w:tab/>
      </w:r>
      <w:r w:rsidR="008057CC" w:rsidRPr="00CB6129">
        <w:rPr>
          <w:lang w:val="en-US"/>
        </w:rPr>
        <w:t>Although both the United States and Cuba may end the lease</w:t>
      </w:r>
      <w:r w:rsidR="00747BC8" w:rsidRPr="00CB6129">
        <w:rPr>
          <w:lang w:val="en-US"/>
        </w:rPr>
        <w:t xml:space="preserve"> of Guantanamo Bay</w:t>
      </w:r>
      <w:r w:rsidR="00626D19" w:rsidRPr="00CB6129">
        <w:rPr>
          <w:lang w:val="en-US"/>
        </w:rPr>
        <w:t xml:space="preserve"> by negotiating its termination</w:t>
      </w:r>
      <w:r w:rsidR="008057CC" w:rsidRPr="00CB6129">
        <w:rPr>
          <w:lang w:val="en-US"/>
        </w:rPr>
        <w:t>, t</w:t>
      </w:r>
      <w:r w:rsidR="007A45CC" w:rsidRPr="00CB6129">
        <w:rPr>
          <w:lang w:val="en-US"/>
        </w:rPr>
        <w:t xml:space="preserve">he 1903 executive agreement and the 1934 </w:t>
      </w:r>
      <w:r w:rsidR="00050F14" w:rsidRPr="00CB6129">
        <w:rPr>
          <w:lang w:val="en-US"/>
        </w:rPr>
        <w:t>Treaty of Relations d</w:t>
      </w:r>
      <w:r w:rsidR="007A45CC" w:rsidRPr="00CB6129">
        <w:rPr>
          <w:lang w:val="en-US"/>
        </w:rPr>
        <w:t xml:space="preserve">esignate the United States as the only party that can </w:t>
      </w:r>
      <w:r w:rsidR="00747BC8" w:rsidRPr="00CB6129">
        <w:rPr>
          <w:lang w:val="en-US"/>
        </w:rPr>
        <w:t>terminate it unilaterally.</w:t>
      </w:r>
      <w:r w:rsidR="00747BC8" w:rsidRPr="00CB6129">
        <w:rPr>
          <w:rStyle w:val="Appelnotedebasdep"/>
          <w:lang w:val="en-US"/>
        </w:rPr>
        <w:footnoteReference w:id="17"/>
      </w:r>
      <w:r w:rsidR="00747BC8" w:rsidRPr="00CB6129">
        <w:rPr>
          <w:lang w:val="en-US"/>
        </w:rPr>
        <w:t xml:space="preserve"> </w:t>
      </w:r>
      <w:r w:rsidR="00050F14" w:rsidRPr="00CB6129">
        <w:rPr>
          <w:lang w:val="en-US"/>
        </w:rPr>
        <w:t xml:space="preserve">By stating </w:t>
      </w:r>
      <w:r w:rsidR="008057CC" w:rsidRPr="00CB6129">
        <w:rPr>
          <w:lang w:val="en-US"/>
        </w:rPr>
        <w:t>the lease</w:t>
      </w:r>
      <w:r w:rsidR="00050F14" w:rsidRPr="00CB6129">
        <w:rPr>
          <w:lang w:val="en-US"/>
        </w:rPr>
        <w:t xml:space="preserve">’s duration as </w:t>
      </w:r>
      <w:r w:rsidR="008057CC" w:rsidRPr="00CB6129">
        <w:rPr>
          <w:lang w:val="en-US"/>
        </w:rPr>
        <w:t>“the time required for the purposes of coaling and naval stations,” t</w:t>
      </w:r>
      <w:r w:rsidR="007A45CC" w:rsidRPr="00CB6129">
        <w:rPr>
          <w:lang w:val="en-US"/>
        </w:rPr>
        <w:t xml:space="preserve">he executive agreement </w:t>
      </w:r>
      <w:r w:rsidR="008057CC" w:rsidRPr="00CB6129">
        <w:rPr>
          <w:lang w:val="en-US"/>
        </w:rPr>
        <w:t xml:space="preserve">defers </w:t>
      </w:r>
      <w:r w:rsidR="00050F14" w:rsidRPr="00CB6129">
        <w:rPr>
          <w:lang w:val="en-US"/>
        </w:rPr>
        <w:t xml:space="preserve">to the only </w:t>
      </w:r>
      <w:r w:rsidR="008057CC" w:rsidRPr="00CB6129">
        <w:rPr>
          <w:lang w:val="en-US"/>
        </w:rPr>
        <w:t xml:space="preserve">state that can determine </w:t>
      </w:r>
      <w:r w:rsidR="00626D19" w:rsidRPr="00CB6129">
        <w:rPr>
          <w:lang w:val="en-US"/>
        </w:rPr>
        <w:t>this</w:t>
      </w:r>
      <w:r w:rsidR="00E150FD" w:rsidRPr="00CB6129">
        <w:rPr>
          <w:lang w:val="en-US"/>
        </w:rPr>
        <w:t xml:space="preserve"> period</w:t>
      </w:r>
      <w:r w:rsidR="00626D19" w:rsidRPr="00CB6129">
        <w:rPr>
          <w:lang w:val="en-US"/>
        </w:rPr>
        <w:t xml:space="preserve">, </w:t>
      </w:r>
      <w:r w:rsidR="00050F14" w:rsidRPr="00CB6129">
        <w:rPr>
          <w:lang w:val="en-US"/>
        </w:rPr>
        <w:t>as</w:t>
      </w:r>
      <w:r w:rsidR="00626D19" w:rsidRPr="00CB6129">
        <w:rPr>
          <w:lang w:val="en-US"/>
        </w:rPr>
        <w:t xml:space="preserve"> the </w:t>
      </w:r>
      <w:r w:rsidR="00E150FD" w:rsidRPr="00CB6129">
        <w:rPr>
          <w:lang w:val="en-US"/>
        </w:rPr>
        <w:t>“time</w:t>
      </w:r>
      <w:r w:rsidR="008057CC" w:rsidRPr="00CB6129">
        <w:rPr>
          <w:lang w:val="en-US"/>
        </w:rPr>
        <w:t xml:space="preserve"> require</w:t>
      </w:r>
      <w:r w:rsidR="00E150FD" w:rsidRPr="00CB6129">
        <w:rPr>
          <w:lang w:val="en-US"/>
        </w:rPr>
        <w:t xml:space="preserve">d” is </w:t>
      </w:r>
      <w:r w:rsidR="00747BC8" w:rsidRPr="00CB6129">
        <w:rPr>
          <w:lang w:val="en-US"/>
        </w:rPr>
        <w:t>inherently a function of U</w:t>
      </w:r>
      <w:r w:rsidR="008057CC" w:rsidRPr="00CB6129">
        <w:rPr>
          <w:lang w:val="en-US"/>
        </w:rPr>
        <w:t xml:space="preserve">.S. needs and interests. The 1934 treaty </w:t>
      </w:r>
      <w:r w:rsidR="007A45CC" w:rsidRPr="00CB6129">
        <w:rPr>
          <w:lang w:val="en-US"/>
        </w:rPr>
        <w:t xml:space="preserve">specifies that </w:t>
      </w:r>
      <w:r w:rsidR="00747BC8" w:rsidRPr="00CB6129">
        <w:rPr>
          <w:lang w:val="en-US"/>
        </w:rPr>
        <w:t xml:space="preserve">unless the United States and Cuba agree </w:t>
      </w:r>
      <w:r w:rsidR="00626D19" w:rsidRPr="00CB6129">
        <w:rPr>
          <w:lang w:val="en-US"/>
        </w:rPr>
        <w:t xml:space="preserve">otherwise, </w:t>
      </w:r>
      <w:r w:rsidR="007A45CC" w:rsidRPr="00CB6129">
        <w:rPr>
          <w:lang w:val="en-US"/>
        </w:rPr>
        <w:t xml:space="preserve">the lease will </w:t>
      </w:r>
      <w:r w:rsidR="00933CA0" w:rsidRPr="00CB6129">
        <w:rPr>
          <w:lang w:val="en-US"/>
        </w:rPr>
        <w:t>remain in effect “</w:t>
      </w:r>
      <w:r w:rsidR="008057CC" w:rsidRPr="00CB6129">
        <w:rPr>
          <w:lang w:val="en-US"/>
        </w:rPr>
        <w:t>(s)</w:t>
      </w:r>
      <w:r w:rsidR="008057CC" w:rsidRPr="00CB6129">
        <w:rPr>
          <w:rFonts w:cs="Times New Roman"/>
          <w:szCs w:val="24"/>
          <w:lang w:val="en-US"/>
        </w:rPr>
        <w:t>o long as the United States of America shall not abandon</w:t>
      </w:r>
      <w:r w:rsidR="00747BC8" w:rsidRPr="00CB6129">
        <w:rPr>
          <w:rFonts w:cs="Times New Roman"/>
          <w:szCs w:val="24"/>
          <w:lang w:val="en-US"/>
        </w:rPr>
        <w:t xml:space="preserve"> </w:t>
      </w:r>
      <w:r w:rsidR="008057CC" w:rsidRPr="00CB6129">
        <w:rPr>
          <w:rFonts w:cs="Times New Roman"/>
          <w:szCs w:val="24"/>
          <w:lang w:val="en-US"/>
        </w:rPr>
        <w:t xml:space="preserve">the said naval station of Guantanamo,” </w:t>
      </w:r>
      <w:r w:rsidR="00747BC8" w:rsidRPr="00CB6129">
        <w:rPr>
          <w:rFonts w:cs="Times New Roman"/>
          <w:szCs w:val="24"/>
          <w:lang w:val="en-US"/>
        </w:rPr>
        <w:t xml:space="preserve">thereby making the </w:t>
      </w:r>
      <w:r w:rsidR="00933CA0" w:rsidRPr="00CB6129">
        <w:rPr>
          <w:rFonts w:cs="Times New Roman"/>
          <w:szCs w:val="24"/>
          <w:lang w:val="en-US"/>
        </w:rPr>
        <w:t xml:space="preserve">duration </w:t>
      </w:r>
      <w:r w:rsidR="00747BC8" w:rsidRPr="00CB6129">
        <w:rPr>
          <w:rFonts w:cs="Times New Roman"/>
          <w:szCs w:val="24"/>
          <w:lang w:val="en-US"/>
        </w:rPr>
        <w:t xml:space="preserve">of U.S. jurisdiction and control contingent on an act </w:t>
      </w:r>
      <w:r w:rsidR="00E150FD" w:rsidRPr="00CB6129">
        <w:rPr>
          <w:rFonts w:cs="Times New Roman"/>
          <w:szCs w:val="24"/>
          <w:lang w:val="en-US"/>
        </w:rPr>
        <w:t xml:space="preserve">(abandonment) </w:t>
      </w:r>
      <w:r w:rsidR="00747BC8" w:rsidRPr="00CB6129">
        <w:rPr>
          <w:rFonts w:cs="Times New Roman"/>
          <w:szCs w:val="24"/>
          <w:lang w:val="en-US"/>
        </w:rPr>
        <w:t>by the United States.</w:t>
      </w:r>
    </w:p>
    <w:p w:rsidR="00933CA0" w:rsidRPr="00CB6129" w:rsidRDefault="00747BC8" w:rsidP="002F2599">
      <w:pPr>
        <w:rPr>
          <w:lang w:val="en-US"/>
        </w:rPr>
      </w:pPr>
      <w:r w:rsidRPr="00CB6129">
        <w:rPr>
          <w:lang w:val="en-US"/>
        </w:rPr>
        <w:tab/>
      </w:r>
      <w:r w:rsidR="00E22A19" w:rsidRPr="00CB6129">
        <w:rPr>
          <w:lang w:val="en-US"/>
        </w:rPr>
        <w:t xml:space="preserve">Cuba has ruled out the use of </w:t>
      </w:r>
      <w:r w:rsidR="00E240F4" w:rsidRPr="00CB6129">
        <w:rPr>
          <w:lang w:val="en-US"/>
        </w:rPr>
        <w:t>military force as</w:t>
      </w:r>
      <w:r w:rsidRPr="00CB6129">
        <w:rPr>
          <w:lang w:val="en-US"/>
        </w:rPr>
        <w:t xml:space="preserve"> a means for recovering control over Guantanamo Bay</w:t>
      </w:r>
      <w:r w:rsidR="00E22A19" w:rsidRPr="00CB6129">
        <w:rPr>
          <w:lang w:val="en-US"/>
        </w:rPr>
        <w:t>.</w:t>
      </w:r>
      <w:r w:rsidRPr="00CB6129">
        <w:rPr>
          <w:rStyle w:val="Appelnotedebasdep"/>
          <w:lang w:val="en-US"/>
        </w:rPr>
        <w:footnoteReference w:id="18"/>
      </w:r>
      <w:r w:rsidRPr="00CB6129">
        <w:rPr>
          <w:lang w:val="en-US"/>
        </w:rPr>
        <w:t xml:space="preserve"> </w:t>
      </w:r>
      <w:r w:rsidR="00E22A19" w:rsidRPr="00CB6129">
        <w:rPr>
          <w:lang w:val="en-US"/>
        </w:rPr>
        <w:t>By also</w:t>
      </w:r>
      <w:r w:rsidRPr="00CB6129">
        <w:rPr>
          <w:lang w:val="en-US"/>
        </w:rPr>
        <w:t xml:space="preserve"> </w:t>
      </w:r>
      <w:r w:rsidR="00E240F4" w:rsidRPr="00CB6129">
        <w:rPr>
          <w:lang w:val="en-US"/>
        </w:rPr>
        <w:t xml:space="preserve">not initiating </w:t>
      </w:r>
      <w:r w:rsidR="00E22A19" w:rsidRPr="00CB6129">
        <w:rPr>
          <w:lang w:val="en-US"/>
        </w:rPr>
        <w:t>legal proceedings</w:t>
      </w:r>
      <w:r w:rsidRPr="00CB6129">
        <w:rPr>
          <w:lang w:val="en-US"/>
        </w:rPr>
        <w:t xml:space="preserve"> toward that end</w:t>
      </w:r>
      <w:r w:rsidR="00E22A19" w:rsidRPr="00CB6129">
        <w:rPr>
          <w:lang w:val="en-US"/>
        </w:rPr>
        <w:t xml:space="preserve">, Cuba </w:t>
      </w:r>
      <w:r w:rsidR="00E150FD" w:rsidRPr="00CB6129">
        <w:rPr>
          <w:lang w:val="en-US"/>
        </w:rPr>
        <w:t>signals that it will be u</w:t>
      </w:r>
      <w:r w:rsidR="00933CA0" w:rsidRPr="00CB6129">
        <w:rPr>
          <w:lang w:val="en-US"/>
        </w:rPr>
        <w:t>p to the United States to take the action necessary for control to be transferred.</w:t>
      </w:r>
      <w:r w:rsidR="00050F14" w:rsidRPr="00CB6129">
        <w:rPr>
          <w:rStyle w:val="Appelnotedebasdep"/>
          <w:lang w:val="en-US"/>
        </w:rPr>
        <w:footnoteReference w:id="19"/>
      </w:r>
      <w:r w:rsidR="00933CA0" w:rsidRPr="00CB6129">
        <w:rPr>
          <w:lang w:val="en-US"/>
        </w:rPr>
        <w:t xml:space="preserve"> The </w:t>
      </w:r>
      <w:r w:rsidR="002F2599" w:rsidRPr="00CB6129">
        <w:rPr>
          <w:lang w:val="en-US"/>
        </w:rPr>
        <w:t>bilateral negotiations</w:t>
      </w:r>
      <w:r w:rsidR="00933CA0" w:rsidRPr="00CB6129">
        <w:rPr>
          <w:lang w:val="en-US"/>
        </w:rPr>
        <w:t xml:space="preserve"> toward normaliz</w:t>
      </w:r>
      <w:r w:rsidR="00E150FD" w:rsidRPr="00CB6129">
        <w:rPr>
          <w:lang w:val="en-US"/>
        </w:rPr>
        <w:t>ed</w:t>
      </w:r>
      <w:r w:rsidR="00933CA0" w:rsidRPr="00CB6129">
        <w:rPr>
          <w:lang w:val="en-US"/>
        </w:rPr>
        <w:t xml:space="preserve"> relations offer a context </w:t>
      </w:r>
      <w:r w:rsidR="00E150FD" w:rsidRPr="00CB6129">
        <w:rPr>
          <w:lang w:val="en-US"/>
        </w:rPr>
        <w:t>that may produce incentives for this to occur.</w:t>
      </w:r>
      <w:r w:rsidR="002F2599" w:rsidRPr="00CB6129">
        <w:rPr>
          <w:lang w:val="en-US"/>
        </w:rPr>
        <w:t xml:space="preserve"> </w:t>
      </w:r>
    </w:p>
    <w:p w:rsidR="00BB2496" w:rsidRPr="00CB6129" w:rsidRDefault="00BB2496">
      <w:pPr>
        <w:rPr>
          <w:lang w:val="en-US"/>
        </w:rPr>
      </w:pPr>
    </w:p>
    <w:p w:rsidR="005A4D42" w:rsidRPr="00CB6129" w:rsidRDefault="005A4D42">
      <w:pPr>
        <w:rPr>
          <w:lang w:val="en-US"/>
        </w:rPr>
      </w:pPr>
    </w:p>
    <w:p w:rsidR="009D2A5C" w:rsidRPr="00CB6129" w:rsidRDefault="00013E65" w:rsidP="009D2A5C">
      <w:pPr>
        <w:rPr>
          <w:lang w:val="en-US"/>
        </w:rPr>
      </w:pPr>
      <w:r w:rsidRPr="00CB6129">
        <w:rPr>
          <w:lang w:val="en-US"/>
        </w:rPr>
        <w:t xml:space="preserve">U.S. </w:t>
      </w:r>
      <w:r w:rsidR="000D4A78" w:rsidRPr="00CB6129">
        <w:rPr>
          <w:lang w:val="en-US"/>
        </w:rPr>
        <w:t xml:space="preserve">Legal </w:t>
      </w:r>
      <w:r w:rsidR="00E150FD" w:rsidRPr="00CB6129">
        <w:rPr>
          <w:lang w:val="en-US"/>
        </w:rPr>
        <w:t>Options</w:t>
      </w:r>
      <w:r w:rsidRPr="00CB6129">
        <w:rPr>
          <w:lang w:val="en-US"/>
        </w:rPr>
        <w:t xml:space="preserve">: </w:t>
      </w:r>
      <w:r w:rsidR="00E150FD" w:rsidRPr="00CB6129">
        <w:rPr>
          <w:lang w:val="en-US"/>
        </w:rPr>
        <w:t>T</w:t>
      </w:r>
      <w:r w:rsidR="001577A5" w:rsidRPr="00CB6129">
        <w:rPr>
          <w:lang w:val="en-US"/>
        </w:rPr>
        <w:t>he Closure of Military Bases</w:t>
      </w:r>
    </w:p>
    <w:p w:rsidR="001577A5" w:rsidRPr="00CB6129" w:rsidRDefault="001577A5" w:rsidP="009D2A5C">
      <w:pPr>
        <w:rPr>
          <w:lang w:val="en-US"/>
        </w:rPr>
      </w:pPr>
    </w:p>
    <w:p w:rsidR="002F2599" w:rsidRPr="00CB6129" w:rsidRDefault="001577A5" w:rsidP="002F2599">
      <w:pPr>
        <w:rPr>
          <w:lang w:val="en-US"/>
        </w:rPr>
      </w:pPr>
      <w:r w:rsidRPr="00CB6129">
        <w:rPr>
          <w:lang w:val="en-US"/>
        </w:rPr>
        <w:tab/>
      </w:r>
      <w:r w:rsidR="002F2599" w:rsidRPr="00CB6129">
        <w:rPr>
          <w:lang w:val="en-US"/>
        </w:rPr>
        <w:t xml:space="preserve">For the United States, the aspects of domestic law that are most relevant to returning control of Guantanamo Bay to Cuba are </w:t>
      </w:r>
      <w:r w:rsidR="00E150FD" w:rsidRPr="00CB6129">
        <w:rPr>
          <w:lang w:val="en-US"/>
        </w:rPr>
        <w:t xml:space="preserve">(1) </w:t>
      </w:r>
      <w:r w:rsidR="002F2599" w:rsidRPr="00CB6129">
        <w:rPr>
          <w:lang w:val="en-US"/>
        </w:rPr>
        <w:t xml:space="preserve">those that address the closure of U.S. military bases, and </w:t>
      </w:r>
      <w:r w:rsidR="00E150FD" w:rsidRPr="00CB6129">
        <w:rPr>
          <w:lang w:val="en-US"/>
        </w:rPr>
        <w:t xml:space="preserve">(2) </w:t>
      </w:r>
      <w:r w:rsidR="002F2599" w:rsidRPr="00CB6129">
        <w:rPr>
          <w:lang w:val="en-US"/>
        </w:rPr>
        <w:t xml:space="preserve">those that would govern the </w:t>
      </w:r>
      <w:r w:rsidR="00E150FD" w:rsidRPr="00CB6129">
        <w:rPr>
          <w:lang w:val="en-US"/>
        </w:rPr>
        <w:t xml:space="preserve">termination of the lease and the transfer of </w:t>
      </w:r>
      <w:r w:rsidR="002F2599" w:rsidRPr="00CB6129">
        <w:rPr>
          <w:lang w:val="en-US"/>
        </w:rPr>
        <w:t xml:space="preserve">control </w:t>
      </w:r>
      <w:r w:rsidR="00E150FD" w:rsidRPr="00CB6129">
        <w:rPr>
          <w:lang w:val="en-US"/>
        </w:rPr>
        <w:t>of the territory</w:t>
      </w:r>
      <w:r w:rsidR="002F2599" w:rsidRPr="00CB6129">
        <w:rPr>
          <w:lang w:val="en-US"/>
        </w:rPr>
        <w:t xml:space="preserve">. </w:t>
      </w:r>
    </w:p>
    <w:p w:rsidR="001B18C1" w:rsidRPr="00CB6129" w:rsidRDefault="002F2599" w:rsidP="009D2A5C">
      <w:pPr>
        <w:rPr>
          <w:lang w:val="en-US"/>
        </w:rPr>
      </w:pPr>
      <w:r w:rsidRPr="00CB6129">
        <w:rPr>
          <w:lang w:val="en-US"/>
        </w:rPr>
        <w:tab/>
      </w:r>
      <w:r w:rsidR="00E150FD" w:rsidRPr="00CB6129">
        <w:rPr>
          <w:lang w:val="en-US"/>
        </w:rPr>
        <w:t xml:space="preserve">The legal </w:t>
      </w:r>
      <w:r w:rsidR="00BB2ED1" w:rsidRPr="00CB6129">
        <w:rPr>
          <w:lang w:val="en-US"/>
        </w:rPr>
        <w:t xml:space="preserve">procedure </w:t>
      </w:r>
      <w:r w:rsidR="00E150FD" w:rsidRPr="00CB6129">
        <w:rPr>
          <w:lang w:val="en-US"/>
        </w:rPr>
        <w:t xml:space="preserve">established for </w:t>
      </w:r>
      <w:r w:rsidR="001577A5" w:rsidRPr="00CB6129">
        <w:rPr>
          <w:lang w:val="en-US"/>
        </w:rPr>
        <w:t>the closure of military bases</w:t>
      </w:r>
      <w:r w:rsidR="00675EF3" w:rsidRPr="00CB6129">
        <w:rPr>
          <w:rStyle w:val="Appelnotedebasdep"/>
          <w:lang w:val="en-US"/>
        </w:rPr>
        <w:footnoteReference w:id="20"/>
      </w:r>
      <w:r w:rsidR="00E150FD" w:rsidRPr="00CB6129">
        <w:rPr>
          <w:lang w:val="en-US"/>
        </w:rPr>
        <w:t xml:space="preserve"> </w:t>
      </w:r>
      <w:r w:rsidR="000D4A78" w:rsidRPr="00CB6129">
        <w:rPr>
          <w:lang w:val="en-US"/>
        </w:rPr>
        <w:t>within</w:t>
      </w:r>
      <w:r w:rsidR="00E150FD" w:rsidRPr="00CB6129">
        <w:rPr>
          <w:lang w:val="en-US"/>
        </w:rPr>
        <w:t xml:space="preserve"> the United States differs from </w:t>
      </w:r>
      <w:r w:rsidR="000D4A78" w:rsidRPr="00CB6129">
        <w:rPr>
          <w:lang w:val="en-US"/>
        </w:rPr>
        <w:t xml:space="preserve">the process by which </w:t>
      </w:r>
      <w:r w:rsidR="00E150FD" w:rsidRPr="00CB6129">
        <w:rPr>
          <w:lang w:val="en-US"/>
        </w:rPr>
        <w:t>bases</w:t>
      </w:r>
      <w:r w:rsidR="001577A5" w:rsidRPr="00CB6129">
        <w:rPr>
          <w:lang w:val="en-US"/>
        </w:rPr>
        <w:t xml:space="preserve"> </w:t>
      </w:r>
      <w:r w:rsidR="000D4A78" w:rsidRPr="00CB6129">
        <w:rPr>
          <w:lang w:val="en-US"/>
        </w:rPr>
        <w:t>located o</w:t>
      </w:r>
      <w:r w:rsidR="001577A5" w:rsidRPr="00CB6129">
        <w:rPr>
          <w:lang w:val="en-US"/>
        </w:rPr>
        <w:t>utside U.S. sovereign territory (generally re</w:t>
      </w:r>
      <w:r w:rsidR="00E150FD" w:rsidRPr="00CB6129">
        <w:rPr>
          <w:lang w:val="en-US"/>
        </w:rPr>
        <w:t>ferred to as “overseas” bases)</w:t>
      </w:r>
      <w:r w:rsidR="000D4A78" w:rsidRPr="00CB6129">
        <w:rPr>
          <w:lang w:val="en-US"/>
        </w:rPr>
        <w:t xml:space="preserve"> may be closed</w:t>
      </w:r>
      <w:r w:rsidR="00E150FD" w:rsidRPr="00CB6129">
        <w:rPr>
          <w:lang w:val="en-US"/>
        </w:rPr>
        <w:t xml:space="preserve">. </w:t>
      </w:r>
      <w:r w:rsidR="001577A5" w:rsidRPr="00CB6129">
        <w:rPr>
          <w:lang w:val="en-US"/>
        </w:rPr>
        <w:t>Fo</w:t>
      </w:r>
      <w:r w:rsidR="00961CB5" w:rsidRPr="00CB6129">
        <w:rPr>
          <w:lang w:val="en-US"/>
        </w:rPr>
        <w:t xml:space="preserve">r domestic bases, the Defense Base </w:t>
      </w:r>
      <w:r w:rsidR="00E25EFF" w:rsidRPr="00CB6129">
        <w:rPr>
          <w:lang w:val="en-US"/>
        </w:rPr>
        <w:t xml:space="preserve">Closure and </w:t>
      </w:r>
      <w:r w:rsidR="00961CB5" w:rsidRPr="00CB6129">
        <w:rPr>
          <w:lang w:val="en-US"/>
        </w:rPr>
        <w:t>Realignment Act of 1990</w:t>
      </w:r>
      <w:r w:rsidR="00E25EFF" w:rsidRPr="00CB6129">
        <w:rPr>
          <w:rStyle w:val="Appelnotedebasdep"/>
          <w:lang w:val="en-US"/>
        </w:rPr>
        <w:footnoteReference w:id="21"/>
      </w:r>
      <w:r w:rsidR="00961CB5" w:rsidRPr="00CB6129">
        <w:rPr>
          <w:lang w:val="en-US"/>
        </w:rPr>
        <w:t xml:space="preserve"> created a </w:t>
      </w:r>
      <w:r w:rsidR="00BB2ED1" w:rsidRPr="00CB6129">
        <w:rPr>
          <w:lang w:val="en-US"/>
        </w:rPr>
        <w:t xml:space="preserve">mechanism </w:t>
      </w:r>
      <w:r w:rsidR="00961CB5" w:rsidRPr="00CB6129">
        <w:rPr>
          <w:lang w:val="en-US"/>
        </w:rPr>
        <w:t xml:space="preserve">in which </w:t>
      </w:r>
      <w:r w:rsidR="00786918" w:rsidRPr="00CB6129">
        <w:rPr>
          <w:lang w:val="en-US"/>
        </w:rPr>
        <w:t>a</w:t>
      </w:r>
      <w:r w:rsidR="00961CB5" w:rsidRPr="00CB6129">
        <w:rPr>
          <w:lang w:val="en-US"/>
        </w:rPr>
        <w:t xml:space="preserve"> </w:t>
      </w:r>
      <w:r w:rsidR="00E25EFF" w:rsidRPr="00CB6129">
        <w:rPr>
          <w:lang w:val="en-US"/>
        </w:rPr>
        <w:t xml:space="preserve">Defense Base </w:t>
      </w:r>
      <w:r w:rsidR="00961CB5" w:rsidRPr="00CB6129">
        <w:rPr>
          <w:lang w:val="en-US"/>
        </w:rPr>
        <w:t>C</w:t>
      </w:r>
      <w:r w:rsidR="00E25EFF" w:rsidRPr="00CB6129">
        <w:rPr>
          <w:lang w:val="en-US"/>
        </w:rPr>
        <w:t>losure and Realignment Commi</w:t>
      </w:r>
      <w:r w:rsidR="00961CB5" w:rsidRPr="00CB6129">
        <w:rPr>
          <w:lang w:val="en-US"/>
        </w:rPr>
        <w:t xml:space="preserve">ssion </w:t>
      </w:r>
      <w:r w:rsidR="002B311E" w:rsidRPr="00CB6129">
        <w:rPr>
          <w:lang w:val="en-US"/>
        </w:rPr>
        <w:t>appointed by the U.S. president consider</w:t>
      </w:r>
      <w:r w:rsidR="00786918" w:rsidRPr="00CB6129">
        <w:rPr>
          <w:lang w:val="en-US"/>
        </w:rPr>
        <w:t>s</w:t>
      </w:r>
      <w:r w:rsidR="002B311E" w:rsidRPr="00CB6129">
        <w:rPr>
          <w:lang w:val="en-US"/>
        </w:rPr>
        <w:t xml:space="preserve"> </w:t>
      </w:r>
      <w:r w:rsidRPr="00CB6129">
        <w:rPr>
          <w:lang w:val="en-US"/>
        </w:rPr>
        <w:t xml:space="preserve">base closure </w:t>
      </w:r>
      <w:r w:rsidR="00E25EFF" w:rsidRPr="00CB6129">
        <w:rPr>
          <w:lang w:val="en-US"/>
        </w:rPr>
        <w:t>recommendations by the Department of Defense</w:t>
      </w:r>
      <w:r w:rsidR="00961CB5" w:rsidRPr="00CB6129">
        <w:rPr>
          <w:lang w:val="en-US"/>
        </w:rPr>
        <w:t>.</w:t>
      </w:r>
      <w:r w:rsidR="00E25EFF" w:rsidRPr="00CB6129">
        <w:rPr>
          <w:rStyle w:val="Appelnotedebasdep"/>
          <w:lang w:val="en-US"/>
        </w:rPr>
        <w:footnoteReference w:id="22"/>
      </w:r>
      <w:r w:rsidR="00E25EFF" w:rsidRPr="00CB6129">
        <w:rPr>
          <w:lang w:val="en-US"/>
        </w:rPr>
        <w:t xml:space="preserve"> </w:t>
      </w:r>
      <w:r w:rsidR="00786918" w:rsidRPr="00CB6129">
        <w:rPr>
          <w:lang w:val="en-US"/>
        </w:rPr>
        <w:t xml:space="preserve">The </w:t>
      </w:r>
      <w:r w:rsidR="002B311E" w:rsidRPr="00CB6129">
        <w:rPr>
          <w:lang w:val="en-US"/>
        </w:rPr>
        <w:t xml:space="preserve">Commission </w:t>
      </w:r>
      <w:r w:rsidRPr="00CB6129">
        <w:rPr>
          <w:lang w:val="en-US"/>
        </w:rPr>
        <w:t>decides on a</w:t>
      </w:r>
      <w:r w:rsidR="002B311E" w:rsidRPr="00CB6129">
        <w:rPr>
          <w:lang w:val="en-US"/>
        </w:rPr>
        <w:t xml:space="preserve"> list of bases to be closed and submits it to the president, who must a</w:t>
      </w:r>
      <w:r w:rsidR="00C421C5" w:rsidRPr="00CB6129">
        <w:rPr>
          <w:lang w:val="en-US"/>
        </w:rPr>
        <w:t>pprove or reject the list in its</w:t>
      </w:r>
      <w:r w:rsidR="002B311E" w:rsidRPr="00CB6129">
        <w:rPr>
          <w:lang w:val="en-US"/>
        </w:rPr>
        <w:t xml:space="preserve"> entirety. Presidential approval triggers </w:t>
      </w:r>
      <w:r w:rsidRPr="00CB6129">
        <w:rPr>
          <w:lang w:val="en-US"/>
        </w:rPr>
        <w:t xml:space="preserve">a 45-day period </w:t>
      </w:r>
      <w:r w:rsidR="00675EF3" w:rsidRPr="00CB6129">
        <w:rPr>
          <w:lang w:val="en-US"/>
        </w:rPr>
        <w:t>dur</w:t>
      </w:r>
      <w:r w:rsidR="002B311E" w:rsidRPr="00CB6129">
        <w:rPr>
          <w:lang w:val="en-US"/>
        </w:rPr>
        <w:t>in</w:t>
      </w:r>
      <w:r w:rsidR="00675EF3" w:rsidRPr="00CB6129">
        <w:rPr>
          <w:lang w:val="en-US"/>
        </w:rPr>
        <w:t>g</w:t>
      </w:r>
      <w:r w:rsidR="002B311E" w:rsidRPr="00CB6129">
        <w:rPr>
          <w:lang w:val="en-US"/>
        </w:rPr>
        <w:t xml:space="preserve"> which Congress may </w:t>
      </w:r>
      <w:r w:rsidR="00786918" w:rsidRPr="00CB6129">
        <w:rPr>
          <w:lang w:val="en-US"/>
        </w:rPr>
        <w:t>reject the list</w:t>
      </w:r>
      <w:r w:rsidR="00D94B14" w:rsidRPr="00CB6129">
        <w:rPr>
          <w:lang w:val="en-US"/>
        </w:rPr>
        <w:t>, and if</w:t>
      </w:r>
      <w:r w:rsidR="00786918" w:rsidRPr="00CB6129">
        <w:rPr>
          <w:lang w:val="en-US"/>
        </w:rPr>
        <w:t xml:space="preserve"> </w:t>
      </w:r>
      <w:r w:rsidR="00D94B14" w:rsidRPr="00CB6129">
        <w:rPr>
          <w:lang w:val="en-US"/>
        </w:rPr>
        <w:t xml:space="preserve">it is not rejected </w:t>
      </w:r>
      <w:r w:rsidR="00786918" w:rsidRPr="00CB6129">
        <w:rPr>
          <w:lang w:val="en-US"/>
        </w:rPr>
        <w:t xml:space="preserve">the </w:t>
      </w:r>
      <w:r w:rsidR="002B311E" w:rsidRPr="00CB6129">
        <w:rPr>
          <w:lang w:val="en-US"/>
        </w:rPr>
        <w:t xml:space="preserve">Department of Defense may </w:t>
      </w:r>
      <w:r w:rsidR="00BB2ED1" w:rsidRPr="00CB6129">
        <w:rPr>
          <w:lang w:val="en-US"/>
        </w:rPr>
        <w:t xml:space="preserve">proceed to </w:t>
      </w:r>
      <w:r w:rsidRPr="00CB6129">
        <w:rPr>
          <w:lang w:val="en-US"/>
        </w:rPr>
        <w:t>c</w:t>
      </w:r>
      <w:r w:rsidR="002B311E" w:rsidRPr="00CB6129">
        <w:rPr>
          <w:lang w:val="en-US"/>
        </w:rPr>
        <w:t>lose the bases.</w:t>
      </w:r>
      <w:r w:rsidR="002B311E" w:rsidRPr="00CB6129">
        <w:rPr>
          <w:rStyle w:val="Appelnotedebasdep"/>
          <w:lang w:val="en-US"/>
        </w:rPr>
        <w:footnoteReference w:id="23"/>
      </w:r>
      <w:r w:rsidR="00D94B14" w:rsidRPr="00CB6129">
        <w:rPr>
          <w:lang w:val="en-US"/>
        </w:rPr>
        <w:t xml:space="preserve"> In selecting bases to recommend for closure</w:t>
      </w:r>
      <w:r w:rsidRPr="00CB6129">
        <w:rPr>
          <w:lang w:val="en-US"/>
        </w:rPr>
        <w:t xml:space="preserve">, the </w:t>
      </w:r>
      <w:r w:rsidR="00D94B14" w:rsidRPr="00CB6129">
        <w:rPr>
          <w:lang w:val="en-US"/>
        </w:rPr>
        <w:t xml:space="preserve">Department of Defense uses eight criteria; the first four </w:t>
      </w:r>
      <w:r w:rsidR="00D94B14" w:rsidRPr="00CB6129">
        <w:rPr>
          <w:lang w:val="en-US"/>
        </w:rPr>
        <w:lastRenderedPageBreak/>
        <w:t xml:space="preserve">refer to military value and have priority, while the others </w:t>
      </w:r>
      <w:r w:rsidRPr="00CB6129">
        <w:rPr>
          <w:lang w:val="en-US"/>
        </w:rPr>
        <w:t>co</w:t>
      </w:r>
      <w:r w:rsidR="00D94B14" w:rsidRPr="00CB6129">
        <w:rPr>
          <w:lang w:val="en-US"/>
        </w:rPr>
        <w:t>ncern financial issues and the economic and environmental impact on nearby communities.</w:t>
      </w:r>
      <w:r w:rsidR="00D94B14" w:rsidRPr="00CB6129">
        <w:rPr>
          <w:rStyle w:val="Appelnotedebasdep"/>
          <w:lang w:val="en-US"/>
        </w:rPr>
        <w:footnoteReference w:id="24"/>
      </w:r>
    </w:p>
    <w:p w:rsidR="00B3592E" w:rsidRPr="00CB6129" w:rsidRDefault="001B18C1" w:rsidP="009D2A5C">
      <w:pPr>
        <w:rPr>
          <w:lang w:val="en-US"/>
        </w:rPr>
      </w:pPr>
      <w:r w:rsidRPr="00CB6129">
        <w:rPr>
          <w:lang w:val="en-US"/>
        </w:rPr>
        <w:tab/>
      </w:r>
      <w:r w:rsidR="00141674" w:rsidRPr="00CB6129">
        <w:rPr>
          <w:lang w:val="en-US"/>
        </w:rPr>
        <w:t>B</w:t>
      </w:r>
      <w:r w:rsidR="007F77C3" w:rsidRPr="00CB6129">
        <w:rPr>
          <w:lang w:val="en-US"/>
        </w:rPr>
        <w:t>ases outside the United States</w:t>
      </w:r>
      <w:r w:rsidR="00141674" w:rsidRPr="00CB6129">
        <w:rPr>
          <w:lang w:val="en-US"/>
        </w:rPr>
        <w:t xml:space="preserve"> are exempt from this</w:t>
      </w:r>
      <w:r w:rsidR="00376A56" w:rsidRPr="00CB6129">
        <w:rPr>
          <w:lang w:val="en-US"/>
        </w:rPr>
        <w:t xml:space="preserve"> procedure.</w:t>
      </w:r>
      <w:r w:rsidR="00BB2ED1" w:rsidRPr="00CB6129">
        <w:rPr>
          <w:lang w:val="en-US"/>
        </w:rPr>
        <w:t xml:space="preserve"> </w:t>
      </w:r>
      <w:r w:rsidR="000D4A78" w:rsidRPr="00CB6129">
        <w:rPr>
          <w:lang w:val="en-US"/>
        </w:rPr>
        <w:t>This accommodates the fact that th</w:t>
      </w:r>
      <w:r w:rsidR="00BB2ED1" w:rsidRPr="00CB6129">
        <w:rPr>
          <w:lang w:val="en-US"/>
        </w:rPr>
        <w:t xml:space="preserve">e dynamics </w:t>
      </w:r>
      <w:r w:rsidR="000D4A78" w:rsidRPr="00CB6129">
        <w:rPr>
          <w:lang w:val="en-US"/>
        </w:rPr>
        <w:t>which can l</w:t>
      </w:r>
      <w:r w:rsidR="00BB2ED1" w:rsidRPr="00CB6129">
        <w:rPr>
          <w:lang w:val="en-US"/>
        </w:rPr>
        <w:t xml:space="preserve">ead to their closure are different from those affecting domestic bases. Overseas U.S. </w:t>
      </w:r>
      <w:r w:rsidR="00D94B14" w:rsidRPr="00CB6129">
        <w:rPr>
          <w:lang w:val="en-US"/>
        </w:rPr>
        <w:t xml:space="preserve">bases exist as the result of </w:t>
      </w:r>
      <w:r w:rsidR="00376A56" w:rsidRPr="00CB6129">
        <w:rPr>
          <w:lang w:val="en-US"/>
        </w:rPr>
        <w:t xml:space="preserve">bilateral </w:t>
      </w:r>
      <w:r w:rsidR="007F77C3" w:rsidRPr="00CB6129">
        <w:rPr>
          <w:lang w:val="en-US"/>
        </w:rPr>
        <w:t xml:space="preserve">or multilateral </w:t>
      </w:r>
      <w:r w:rsidR="00376A56" w:rsidRPr="00CB6129">
        <w:rPr>
          <w:lang w:val="en-US"/>
        </w:rPr>
        <w:t>agreements,</w:t>
      </w:r>
      <w:r w:rsidR="007F77C3" w:rsidRPr="00CB6129">
        <w:rPr>
          <w:lang w:val="en-US"/>
        </w:rPr>
        <w:t xml:space="preserve"> and </w:t>
      </w:r>
      <w:r w:rsidR="00C955D9" w:rsidRPr="00CB6129">
        <w:rPr>
          <w:lang w:val="en-US"/>
        </w:rPr>
        <w:t xml:space="preserve">their closure may be </w:t>
      </w:r>
      <w:r w:rsidR="000D4A78" w:rsidRPr="00CB6129">
        <w:rPr>
          <w:lang w:val="en-US"/>
        </w:rPr>
        <w:t>produce</w:t>
      </w:r>
      <w:r w:rsidR="00C955D9" w:rsidRPr="00CB6129">
        <w:rPr>
          <w:lang w:val="en-US"/>
        </w:rPr>
        <w:t xml:space="preserve">d by </w:t>
      </w:r>
      <w:r w:rsidR="007F77C3" w:rsidRPr="00CB6129">
        <w:rPr>
          <w:lang w:val="en-US"/>
        </w:rPr>
        <w:t>decision</w:t>
      </w:r>
      <w:r w:rsidR="00C955D9" w:rsidRPr="00CB6129">
        <w:rPr>
          <w:lang w:val="en-US"/>
        </w:rPr>
        <w:t>s</w:t>
      </w:r>
      <w:r w:rsidR="007F77C3" w:rsidRPr="00CB6129">
        <w:rPr>
          <w:lang w:val="en-US"/>
        </w:rPr>
        <w:t xml:space="preserve"> or other action</w:t>
      </w:r>
      <w:r w:rsidR="00C955D9" w:rsidRPr="00CB6129">
        <w:rPr>
          <w:lang w:val="en-US"/>
        </w:rPr>
        <w:t>s</w:t>
      </w:r>
      <w:r w:rsidR="007F77C3" w:rsidRPr="00CB6129">
        <w:rPr>
          <w:lang w:val="en-US"/>
        </w:rPr>
        <w:t xml:space="preserve"> by the </w:t>
      </w:r>
      <w:r w:rsidR="00D94B14" w:rsidRPr="00CB6129">
        <w:rPr>
          <w:lang w:val="en-US"/>
        </w:rPr>
        <w:t>“host” state, o</w:t>
      </w:r>
      <w:r w:rsidR="007F77C3" w:rsidRPr="00CB6129">
        <w:rPr>
          <w:lang w:val="en-US"/>
        </w:rPr>
        <w:t xml:space="preserve">r </w:t>
      </w:r>
      <w:r w:rsidR="00C955D9" w:rsidRPr="00CB6129">
        <w:rPr>
          <w:lang w:val="en-US"/>
        </w:rPr>
        <w:t xml:space="preserve">by </w:t>
      </w:r>
      <w:r w:rsidR="007F77C3" w:rsidRPr="00CB6129">
        <w:rPr>
          <w:lang w:val="en-US"/>
        </w:rPr>
        <w:t>the expiration of the agreemen</w:t>
      </w:r>
      <w:r w:rsidR="00BB2ED1" w:rsidRPr="00CB6129">
        <w:rPr>
          <w:lang w:val="en-US"/>
        </w:rPr>
        <w:t xml:space="preserve">t. When the decision to close an overseas </w:t>
      </w:r>
      <w:r w:rsidR="00B3592E" w:rsidRPr="00CB6129">
        <w:rPr>
          <w:lang w:val="en-US"/>
        </w:rPr>
        <w:t xml:space="preserve">U.S. base is made </w:t>
      </w:r>
      <w:r w:rsidR="007F77C3" w:rsidRPr="00CB6129">
        <w:rPr>
          <w:lang w:val="en-US"/>
        </w:rPr>
        <w:t xml:space="preserve">by the United States, </w:t>
      </w:r>
      <w:r w:rsidR="00B3592E" w:rsidRPr="00CB6129">
        <w:rPr>
          <w:lang w:val="en-US"/>
        </w:rPr>
        <w:t xml:space="preserve">there are no mandatory criteria in U.S. law that must be considered in making the determination – it may be made for military, financial, diplomatic or other reasons that the United States deems in its interest. Similarly, U.S. law does not mandate a </w:t>
      </w:r>
      <w:r w:rsidR="00BB2ED1" w:rsidRPr="00CB6129">
        <w:rPr>
          <w:lang w:val="en-US"/>
        </w:rPr>
        <w:t>specific process</w:t>
      </w:r>
      <w:r w:rsidR="00B3592E" w:rsidRPr="00CB6129">
        <w:rPr>
          <w:lang w:val="en-US"/>
        </w:rPr>
        <w:t xml:space="preserve"> to follow.</w:t>
      </w:r>
      <w:r w:rsidR="00BB2ED1" w:rsidRPr="00CB6129">
        <w:rPr>
          <w:rStyle w:val="Appelnotedebasdep"/>
          <w:lang w:val="en-US"/>
        </w:rPr>
        <w:footnoteReference w:id="25"/>
      </w:r>
    </w:p>
    <w:p w:rsidR="00BB125C" w:rsidRPr="00CB6129" w:rsidRDefault="00AF3E75" w:rsidP="009D2A5C">
      <w:pPr>
        <w:rPr>
          <w:lang w:val="en-US"/>
        </w:rPr>
      </w:pPr>
      <w:r w:rsidRPr="00CB6129">
        <w:rPr>
          <w:lang w:val="en-US"/>
        </w:rPr>
        <w:tab/>
      </w:r>
      <w:r w:rsidR="000149B3" w:rsidRPr="00CB6129">
        <w:rPr>
          <w:lang w:val="en-US"/>
        </w:rPr>
        <w:t xml:space="preserve">Because </w:t>
      </w:r>
      <w:r w:rsidR="00141674" w:rsidRPr="00CB6129">
        <w:rPr>
          <w:lang w:val="en-US"/>
        </w:rPr>
        <w:t xml:space="preserve">the closure of a U.S. military base overseas </w:t>
      </w:r>
      <w:r w:rsidR="000149B3" w:rsidRPr="00CB6129">
        <w:rPr>
          <w:lang w:val="en-US"/>
        </w:rPr>
        <w:t xml:space="preserve">may </w:t>
      </w:r>
      <w:r w:rsidR="00B055C7" w:rsidRPr="00CB6129">
        <w:rPr>
          <w:lang w:val="en-US"/>
        </w:rPr>
        <w:t xml:space="preserve">not be up to the United States, </w:t>
      </w:r>
      <w:r w:rsidR="00141674" w:rsidRPr="00CB6129">
        <w:rPr>
          <w:lang w:val="en-US"/>
        </w:rPr>
        <w:t xml:space="preserve">it </w:t>
      </w:r>
      <w:r w:rsidRPr="00CB6129">
        <w:rPr>
          <w:lang w:val="en-US"/>
        </w:rPr>
        <w:t xml:space="preserve">may </w:t>
      </w:r>
      <w:r w:rsidR="000149B3" w:rsidRPr="00CB6129">
        <w:rPr>
          <w:lang w:val="en-US"/>
        </w:rPr>
        <w:t xml:space="preserve">occur </w:t>
      </w:r>
      <w:r w:rsidRPr="00CB6129">
        <w:rPr>
          <w:lang w:val="en-US"/>
        </w:rPr>
        <w:t>without approval, or even discussion, by Congress. Nonetheless,</w:t>
      </w:r>
      <w:r w:rsidR="00B055C7" w:rsidRPr="00CB6129">
        <w:rPr>
          <w:lang w:val="en-US"/>
        </w:rPr>
        <w:t xml:space="preserve"> a desire by Congress to influence the process resulted in the </w:t>
      </w:r>
      <w:r w:rsidRPr="00CB6129">
        <w:rPr>
          <w:lang w:val="en-US"/>
        </w:rPr>
        <w:t xml:space="preserve">Defense Base Closure and Realignment Act of 1990 </w:t>
      </w:r>
      <w:r w:rsidR="000D4A78" w:rsidRPr="00CB6129">
        <w:rPr>
          <w:lang w:val="en-US"/>
        </w:rPr>
        <w:t>havi</w:t>
      </w:r>
      <w:r w:rsidR="00B055C7" w:rsidRPr="00CB6129">
        <w:rPr>
          <w:lang w:val="en-US"/>
        </w:rPr>
        <w:t xml:space="preserve">ng a section </w:t>
      </w:r>
      <w:r w:rsidR="000149B3" w:rsidRPr="00CB6129">
        <w:rPr>
          <w:lang w:val="en-US"/>
        </w:rPr>
        <w:t>on the Closure of Foreign Military Installations</w:t>
      </w:r>
      <w:r w:rsidR="00B055C7" w:rsidRPr="00CB6129">
        <w:rPr>
          <w:lang w:val="en-US"/>
        </w:rPr>
        <w:t>,</w:t>
      </w:r>
      <w:r w:rsidR="000149B3" w:rsidRPr="00CB6129">
        <w:rPr>
          <w:rStyle w:val="Appelnotedebasdep"/>
          <w:lang w:val="en-US"/>
        </w:rPr>
        <w:footnoteReference w:id="26"/>
      </w:r>
      <w:r w:rsidR="00B055C7" w:rsidRPr="00CB6129">
        <w:rPr>
          <w:lang w:val="en-US"/>
        </w:rPr>
        <w:t xml:space="preserve"> which stated the following:</w:t>
      </w:r>
    </w:p>
    <w:p w:rsidR="00BB125C" w:rsidRPr="00CB6129" w:rsidRDefault="00BB125C" w:rsidP="009D2A5C">
      <w:pPr>
        <w:rPr>
          <w:lang w:val="en-US"/>
        </w:rPr>
      </w:pPr>
    </w:p>
    <w:p w:rsidR="00BB125C" w:rsidRPr="00CB6129" w:rsidRDefault="00BB125C" w:rsidP="00BB125C">
      <w:pPr>
        <w:rPr>
          <w:lang w:val="en-US"/>
        </w:rPr>
      </w:pPr>
      <w:r w:rsidRPr="00CB6129">
        <w:rPr>
          <w:lang w:val="en-US"/>
        </w:rPr>
        <w:tab/>
        <w:t>I</w:t>
      </w:r>
      <w:r w:rsidR="000149B3" w:rsidRPr="00CB6129">
        <w:rPr>
          <w:lang w:val="en-US"/>
        </w:rPr>
        <w:t xml:space="preserve">t is the sense of Congress that </w:t>
      </w:r>
      <w:r w:rsidRPr="00CB6129">
        <w:rPr>
          <w:lang w:val="en-US"/>
        </w:rPr>
        <w:t>–</w:t>
      </w:r>
    </w:p>
    <w:p w:rsidR="00BB125C" w:rsidRPr="00CB6129" w:rsidRDefault="000149B3" w:rsidP="00BB125C">
      <w:pPr>
        <w:pStyle w:val="Paragraphedeliste"/>
        <w:numPr>
          <w:ilvl w:val="0"/>
          <w:numId w:val="2"/>
        </w:numPr>
        <w:rPr>
          <w:lang w:val="en-US"/>
        </w:rPr>
      </w:pPr>
      <w:r w:rsidRPr="00CB6129">
        <w:rPr>
          <w:lang w:val="en-US"/>
        </w:rPr>
        <w:t xml:space="preserve">the termination of military operations by the United States at military </w:t>
      </w:r>
    </w:p>
    <w:p w:rsidR="00BB125C" w:rsidRPr="00CB6129" w:rsidRDefault="00BB125C" w:rsidP="00BB125C">
      <w:pPr>
        <w:rPr>
          <w:lang w:val="en-US"/>
        </w:rPr>
      </w:pPr>
      <w:r w:rsidRPr="00CB6129">
        <w:rPr>
          <w:lang w:val="en-US"/>
        </w:rPr>
        <w:tab/>
      </w:r>
      <w:proofErr w:type="gramStart"/>
      <w:r w:rsidR="000149B3" w:rsidRPr="00CB6129">
        <w:rPr>
          <w:lang w:val="en-US"/>
        </w:rPr>
        <w:t>installations</w:t>
      </w:r>
      <w:proofErr w:type="gramEnd"/>
      <w:r w:rsidR="000149B3" w:rsidRPr="00CB6129">
        <w:rPr>
          <w:lang w:val="en-US"/>
        </w:rPr>
        <w:t xml:space="preserve"> outside the United States should be accomplished at the discretion </w:t>
      </w:r>
    </w:p>
    <w:p w:rsidR="000149B3" w:rsidRPr="00CB6129" w:rsidRDefault="00BB125C" w:rsidP="00BB125C">
      <w:pPr>
        <w:rPr>
          <w:lang w:val="en-US"/>
        </w:rPr>
      </w:pPr>
      <w:r w:rsidRPr="00CB6129">
        <w:rPr>
          <w:lang w:val="en-US"/>
        </w:rPr>
        <w:tab/>
      </w:r>
      <w:proofErr w:type="gramStart"/>
      <w:r w:rsidR="000149B3" w:rsidRPr="00CB6129">
        <w:rPr>
          <w:lang w:val="en-US"/>
        </w:rPr>
        <w:t>of</w:t>
      </w:r>
      <w:proofErr w:type="gramEnd"/>
      <w:r w:rsidR="000149B3" w:rsidRPr="00CB6129">
        <w:rPr>
          <w:lang w:val="en-US"/>
        </w:rPr>
        <w:t xml:space="preserve"> the Secretary of Defense at the earliest opportunity;</w:t>
      </w:r>
    </w:p>
    <w:p w:rsidR="00BB125C" w:rsidRPr="00CB6129" w:rsidRDefault="000149B3" w:rsidP="00BB125C">
      <w:pPr>
        <w:pStyle w:val="Paragraphedeliste"/>
        <w:numPr>
          <w:ilvl w:val="0"/>
          <w:numId w:val="2"/>
        </w:numPr>
        <w:rPr>
          <w:lang w:val="en-US"/>
        </w:rPr>
      </w:pPr>
      <w:r w:rsidRPr="00CB6129">
        <w:rPr>
          <w:lang w:val="en-US"/>
        </w:rPr>
        <w:t xml:space="preserve">in providing for such termination, the Secretary of Defense should take steps </w:t>
      </w:r>
    </w:p>
    <w:p w:rsidR="00BB125C" w:rsidRPr="00CB6129" w:rsidRDefault="00BB125C" w:rsidP="009D2A5C">
      <w:pPr>
        <w:rPr>
          <w:lang w:val="en-US"/>
        </w:rPr>
      </w:pPr>
      <w:r w:rsidRPr="00CB6129">
        <w:rPr>
          <w:lang w:val="en-US"/>
        </w:rPr>
        <w:tab/>
      </w:r>
      <w:proofErr w:type="gramStart"/>
      <w:r w:rsidR="000149B3" w:rsidRPr="00CB6129">
        <w:rPr>
          <w:lang w:val="en-US"/>
        </w:rPr>
        <w:t>to</w:t>
      </w:r>
      <w:proofErr w:type="gramEnd"/>
      <w:r w:rsidR="000149B3" w:rsidRPr="00CB6129">
        <w:rPr>
          <w:lang w:val="en-US"/>
        </w:rPr>
        <w:t xml:space="preserve"> ensure that the United States receives, through direct payment or otherwise, </w:t>
      </w:r>
    </w:p>
    <w:p w:rsidR="00BB125C" w:rsidRPr="00CB6129" w:rsidRDefault="00BB125C" w:rsidP="009D2A5C">
      <w:pPr>
        <w:rPr>
          <w:lang w:val="en-US"/>
        </w:rPr>
      </w:pPr>
      <w:r w:rsidRPr="00CB6129">
        <w:rPr>
          <w:lang w:val="en-US"/>
        </w:rPr>
        <w:tab/>
      </w:r>
      <w:proofErr w:type="gramStart"/>
      <w:r w:rsidR="000149B3" w:rsidRPr="00CB6129">
        <w:rPr>
          <w:lang w:val="en-US"/>
        </w:rPr>
        <w:t>consideration</w:t>
      </w:r>
      <w:proofErr w:type="gramEnd"/>
      <w:r w:rsidR="000149B3" w:rsidRPr="00CB6129">
        <w:rPr>
          <w:lang w:val="en-US"/>
        </w:rPr>
        <w:t xml:space="preserve"> equal to the fair market value of the improvements made by the </w:t>
      </w:r>
    </w:p>
    <w:p w:rsidR="000149B3" w:rsidRPr="00CB6129" w:rsidRDefault="00BB125C" w:rsidP="009D2A5C">
      <w:pPr>
        <w:rPr>
          <w:lang w:val="en-US"/>
        </w:rPr>
      </w:pPr>
      <w:r w:rsidRPr="00CB6129">
        <w:rPr>
          <w:lang w:val="en-US"/>
        </w:rPr>
        <w:tab/>
      </w:r>
      <w:r w:rsidR="000149B3" w:rsidRPr="00CB6129">
        <w:rPr>
          <w:lang w:val="en-US"/>
        </w:rPr>
        <w:t xml:space="preserve">United States at facilities that will be released to host countries; </w:t>
      </w:r>
    </w:p>
    <w:p w:rsidR="00BB125C" w:rsidRPr="00CB6129" w:rsidRDefault="000149B3" w:rsidP="00BB125C">
      <w:pPr>
        <w:pStyle w:val="Paragraphedeliste"/>
        <w:numPr>
          <w:ilvl w:val="0"/>
          <w:numId w:val="2"/>
        </w:numPr>
        <w:rPr>
          <w:lang w:val="en-US"/>
        </w:rPr>
      </w:pPr>
      <w:r w:rsidRPr="00CB6129">
        <w:rPr>
          <w:lang w:val="en-US"/>
        </w:rPr>
        <w:t xml:space="preserve">the Secretary of Defense, acting through the military component commands </w:t>
      </w:r>
    </w:p>
    <w:p w:rsidR="00BB125C" w:rsidRPr="00CB6129" w:rsidRDefault="00BB125C" w:rsidP="009D2A5C">
      <w:pPr>
        <w:rPr>
          <w:lang w:val="en-US"/>
        </w:rPr>
      </w:pPr>
      <w:r w:rsidRPr="00CB6129">
        <w:rPr>
          <w:lang w:val="en-US"/>
        </w:rPr>
        <w:tab/>
      </w:r>
      <w:proofErr w:type="gramStart"/>
      <w:r w:rsidR="000149B3" w:rsidRPr="00CB6129">
        <w:rPr>
          <w:lang w:val="en-US"/>
        </w:rPr>
        <w:t>or</w:t>
      </w:r>
      <w:proofErr w:type="gramEnd"/>
      <w:r w:rsidR="000149B3" w:rsidRPr="00CB6129">
        <w:rPr>
          <w:lang w:val="en-US"/>
        </w:rPr>
        <w:t xml:space="preserve"> the sub-unified commands to the combatant commands, should be the lead </w:t>
      </w:r>
    </w:p>
    <w:p w:rsidR="00BB125C" w:rsidRPr="00CB6129" w:rsidRDefault="00BB125C" w:rsidP="009D2A5C">
      <w:pPr>
        <w:rPr>
          <w:lang w:val="en-US"/>
        </w:rPr>
      </w:pPr>
      <w:r w:rsidRPr="00CB6129">
        <w:rPr>
          <w:lang w:val="en-US"/>
        </w:rPr>
        <w:tab/>
      </w:r>
      <w:proofErr w:type="gramStart"/>
      <w:r w:rsidR="000149B3" w:rsidRPr="00CB6129">
        <w:rPr>
          <w:lang w:val="en-US"/>
        </w:rPr>
        <w:t>official</w:t>
      </w:r>
      <w:proofErr w:type="gramEnd"/>
      <w:r w:rsidR="000149B3" w:rsidRPr="00CB6129">
        <w:rPr>
          <w:lang w:val="en-US"/>
        </w:rPr>
        <w:t xml:space="preserve"> in negotiations relating to determining and receiv</w:t>
      </w:r>
      <w:r w:rsidRPr="00CB6129">
        <w:rPr>
          <w:lang w:val="en-US"/>
        </w:rPr>
        <w:t xml:space="preserve">ing such </w:t>
      </w:r>
    </w:p>
    <w:p w:rsidR="00BB125C" w:rsidRPr="00CB6129" w:rsidRDefault="00BB125C" w:rsidP="009D2A5C">
      <w:pPr>
        <w:rPr>
          <w:lang w:val="en-US"/>
        </w:rPr>
      </w:pPr>
      <w:r w:rsidRPr="00CB6129">
        <w:rPr>
          <w:lang w:val="en-US"/>
        </w:rPr>
        <w:tab/>
      </w:r>
      <w:proofErr w:type="gramStart"/>
      <w:r w:rsidRPr="00CB6129">
        <w:rPr>
          <w:lang w:val="en-US"/>
        </w:rPr>
        <w:t>consideration</w:t>
      </w:r>
      <w:proofErr w:type="gramEnd"/>
      <w:r w:rsidRPr="00CB6129">
        <w:rPr>
          <w:lang w:val="en-US"/>
        </w:rPr>
        <w:t xml:space="preserve">; and </w:t>
      </w:r>
    </w:p>
    <w:p w:rsidR="00BB125C" w:rsidRPr="00CB6129" w:rsidRDefault="000149B3" w:rsidP="00BB125C">
      <w:pPr>
        <w:pStyle w:val="Paragraphedeliste"/>
        <w:numPr>
          <w:ilvl w:val="0"/>
          <w:numId w:val="2"/>
        </w:numPr>
        <w:rPr>
          <w:lang w:val="en-US"/>
        </w:rPr>
      </w:pPr>
      <w:r w:rsidRPr="00CB6129">
        <w:rPr>
          <w:lang w:val="en-US"/>
        </w:rPr>
        <w:t>the determination of the fair market value of such improvements released to</w:t>
      </w:r>
    </w:p>
    <w:p w:rsidR="00BB125C" w:rsidRPr="00CB6129" w:rsidRDefault="00BB125C" w:rsidP="009D2A5C">
      <w:pPr>
        <w:rPr>
          <w:lang w:val="en-US"/>
        </w:rPr>
      </w:pPr>
      <w:r w:rsidRPr="00CB6129">
        <w:rPr>
          <w:lang w:val="en-US"/>
        </w:rPr>
        <w:tab/>
      </w:r>
      <w:proofErr w:type="gramStart"/>
      <w:r w:rsidR="000149B3" w:rsidRPr="00CB6129">
        <w:rPr>
          <w:lang w:val="en-US"/>
        </w:rPr>
        <w:t>host</w:t>
      </w:r>
      <w:proofErr w:type="gramEnd"/>
      <w:r w:rsidR="000149B3" w:rsidRPr="00CB6129">
        <w:rPr>
          <w:lang w:val="en-US"/>
        </w:rPr>
        <w:t xml:space="preserve"> countries in whole or in part by the United States should be handled on a </w:t>
      </w:r>
    </w:p>
    <w:p w:rsidR="000149B3" w:rsidRPr="00CB6129" w:rsidRDefault="00BB125C" w:rsidP="009D2A5C">
      <w:pPr>
        <w:rPr>
          <w:lang w:val="en-US"/>
        </w:rPr>
      </w:pPr>
      <w:r w:rsidRPr="00CB6129">
        <w:rPr>
          <w:lang w:val="en-US"/>
        </w:rPr>
        <w:tab/>
      </w:r>
      <w:proofErr w:type="gramStart"/>
      <w:r w:rsidR="000149B3" w:rsidRPr="00CB6129">
        <w:rPr>
          <w:lang w:val="en-US"/>
        </w:rPr>
        <w:t>facility-by-facility</w:t>
      </w:r>
      <w:proofErr w:type="gramEnd"/>
      <w:r w:rsidR="000149B3" w:rsidRPr="00CB6129">
        <w:rPr>
          <w:lang w:val="en-US"/>
        </w:rPr>
        <w:t xml:space="preserve"> basis.</w:t>
      </w:r>
    </w:p>
    <w:p w:rsidR="00BB125C" w:rsidRPr="00CB6129" w:rsidRDefault="00BB125C" w:rsidP="009D2A5C">
      <w:pPr>
        <w:rPr>
          <w:lang w:val="en-US"/>
        </w:rPr>
      </w:pPr>
    </w:p>
    <w:p w:rsidR="00D95801" w:rsidRPr="00CB6129" w:rsidRDefault="00BB125C" w:rsidP="009D2A5C">
      <w:pPr>
        <w:rPr>
          <w:lang w:val="en-US"/>
        </w:rPr>
      </w:pPr>
      <w:r w:rsidRPr="00CB6129">
        <w:rPr>
          <w:lang w:val="en-US"/>
        </w:rPr>
        <w:tab/>
        <w:t>“</w:t>
      </w:r>
      <w:r w:rsidR="00D80279" w:rsidRPr="00CB6129">
        <w:rPr>
          <w:lang w:val="en-US"/>
        </w:rPr>
        <w:t>S</w:t>
      </w:r>
      <w:r w:rsidRPr="00CB6129">
        <w:rPr>
          <w:lang w:val="en-US"/>
        </w:rPr>
        <w:t xml:space="preserve">ense of Congress” </w:t>
      </w:r>
      <w:r w:rsidR="001E62CF" w:rsidRPr="00CB6129">
        <w:rPr>
          <w:lang w:val="en-US"/>
        </w:rPr>
        <w:t>resolution</w:t>
      </w:r>
      <w:r w:rsidR="00D80279" w:rsidRPr="00CB6129">
        <w:rPr>
          <w:lang w:val="en-US"/>
        </w:rPr>
        <w:t>s</w:t>
      </w:r>
      <w:r w:rsidR="00B055C7" w:rsidRPr="00CB6129">
        <w:rPr>
          <w:lang w:val="en-US"/>
        </w:rPr>
        <w:t>, however,</w:t>
      </w:r>
      <w:r w:rsidR="00D80279" w:rsidRPr="00CB6129">
        <w:rPr>
          <w:lang w:val="en-US"/>
        </w:rPr>
        <w:t xml:space="preserve"> are not legally binding; even when embedded in legislation, they “have no force in law.”</w:t>
      </w:r>
      <w:r w:rsidR="00D80279" w:rsidRPr="00CB6129">
        <w:rPr>
          <w:rStyle w:val="Appelnotedebasdep"/>
          <w:lang w:val="en-US"/>
        </w:rPr>
        <w:footnoteReference w:id="27"/>
      </w:r>
      <w:r w:rsidR="00D80279" w:rsidRPr="00CB6129">
        <w:rPr>
          <w:lang w:val="en-US"/>
        </w:rPr>
        <w:t xml:space="preserve"> </w:t>
      </w:r>
      <w:r w:rsidR="0044438E" w:rsidRPr="00CB6129">
        <w:rPr>
          <w:lang w:val="en-US"/>
        </w:rPr>
        <w:t xml:space="preserve">Rather, they </w:t>
      </w:r>
      <w:r w:rsidR="00D80279" w:rsidRPr="00CB6129">
        <w:rPr>
          <w:lang w:val="en-US"/>
        </w:rPr>
        <w:t xml:space="preserve">are expressions of </w:t>
      </w:r>
      <w:r w:rsidR="0044438E" w:rsidRPr="00CB6129">
        <w:rPr>
          <w:lang w:val="en-US"/>
        </w:rPr>
        <w:t xml:space="preserve">the views of Congress, </w:t>
      </w:r>
      <w:r w:rsidR="00627C00" w:rsidRPr="00CB6129">
        <w:rPr>
          <w:lang w:val="en-US"/>
        </w:rPr>
        <w:t>as when it wishes</w:t>
      </w:r>
      <w:r w:rsidR="0044438E" w:rsidRPr="00CB6129">
        <w:rPr>
          <w:lang w:val="en-US"/>
        </w:rPr>
        <w:t xml:space="preserve"> to see certain polic</w:t>
      </w:r>
      <w:r w:rsidR="001E62CF" w:rsidRPr="00CB6129">
        <w:rPr>
          <w:lang w:val="en-US"/>
        </w:rPr>
        <w:t>ies</w:t>
      </w:r>
      <w:r w:rsidR="0044438E" w:rsidRPr="00CB6129">
        <w:rPr>
          <w:lang w:val="en-US"/>
        </w:rPr>
        <w:t xml:space="preserve"> adopted or procedure</w:t>
      </w:r>
      <w:r w:rsidR="001E62CF" w:rsidRPr="00CB6129">
        <w:rPr>
          <w:lang w:val="en-US"/>
        </w:rPr>
        <w:t>s</w:t>
      </w:r>
      <w:r w:rsidR="0044438E" w:rsidRPr="00CB6129">
        <w:rPr>
          <w:lang w:val="en-US"/>
        </w:rPr>
        <w:t xml:space="preserve"> followed</w:t>
      </w:r>
      <w:r w:rsidR="001E62CF" w:rsidRPr="00CB6129">
        <w:rPr>
          <w:lang w:val="en-US"/>
        </w:rPr>
        <w:t xml:space="preserve"> by the executive branch</w:t>
      </w:r>
      <w:r w:rsidR="0044438E" w:rsidRPr="00CB6129">
        <w:rPr>
          <w:lang w:val="en-US"/>
        </w:rPr>
        <w:t xml:space="preserve">, although </w:t>
      </w:r>
      <w:r w:rsidR="001E62CF" w:rsidRPr="00CB6129">
        <w:rPr>
          <w:lang w:val="en-US"/>
        </w:rPr>
        <w:t>in these cases they do not constitute</w:t>
      </w:r>
      <w:r w:rsidR="0044438E" w:rsidRPr="00CB6129">
        <w:rPr>
          <w:lang w:val="en-US"/>
        </w:rPr>
        <w:t xml:space="preserve"> </w:t>
      </w:r>
      <w:r w:rsidR="001E62CF" w:rsidRPr="00CB6129">
        <w:rPr>
          <w:lang w:val="en-US"/>
        </w:rPr>
        <w:t xml:space="preserve">actual </w:t>
      </w:r>
      <w:r w:rsidR="0044438E" w:rsidRPr="00CB6129">
        <w:rPr>
          <w:lang w:val="en-US"/>
        </w:rPr>
        <w:t>statements of U.S. policy</w:t>
      </w:r>
      <w:r w:rsidR="001E62CF" w:rsidRPr="00CB6129">
        <w:rPr>
          <w:lang w:val="en-US"/>
        </w:rPr>
        <w:t xml:space="preserve"> n</w:t>
      </w:r>
      <w:r w:rsidR="0044438E" w:rsidRPr="00CB6129">
        <w:rPr>
          <w:lang w:val="en-US"/>
        </w:rPr>
        <w:t xml:space="preserve">or </w:t>
      </w:r>
      <w:r w:rsidR="001E62CF" w:rsidRPr="00CB6129">
        <w:rPr>
          <w:lang w:val="en-US"/>
        </w:rPr>
        <w:t xml:space="preserve">do they </w:t>
      </w:r>
      <w:r w:rsidR="0044438E" w:rsidRPr="00CB6129">
        <w:rPr>
          <w:lang w:val="en-US"/>
        </w:rPr>
        <w:t xml:space="preserve">establish </w:t>
      </w:r>
      <w:r w:rsidR="001E62CF" w:rsidRPr="00CB6129">
        <w:rPr>
          <w:lang w:val="en-US"/>
        </w:rPr>
        <w:t xml:space="preserve">the desired </w:t>
      </w:r>
      <w:r w:rsidR="0044438E" w:rsidRPr="00CB6129">
        <w:rPr>
          <w:lang w:val="en-US"/>
        </w:rPr>
        <w:t>procedure</w:t>
      </w:r>
      <w:r w:rsidR="001E62CF" w:rsidRPr="00CB6129">
        <w:rPr>
          <w:lang w:val="en-US"/>
        </w:rPr>
        <w:t>s</w:t>
      </w:r>
      <w:r w:rsidR="0044438E" w:rsidRPr="00CB6129">
        <w:rPr>
          <w:lang w:val="en-US"/>
        </w:rPr>
        <w:t xml:space="preserve">. </w:t>
      </w:r>
      <w:r w:rsidR="00627C00" w:rsidRPr="00CB6129">
        <w:rPr>
          <w:lang w:val="en-US"/>
        </w:rPr>
        <w:t>Thus,</w:t>
      </w:r>
      <w:r w:rsidR="00D95801" w:rsidRPr="00CB6129">
        <w:rPr>
          <w:lang w:val="en-US"/>
        </w:rPr>
        <w:t xml:space="preserve"> the “sense of Congress” resolution pertaining to the closure of U.S. military facilities overseas may be ignored without </w:t>
      </w:r>
      <w:r w:rsidR="00D95801" w:rsidRPr="00CB6129">
        <w:rPr>
          <w:lang w:val="en-US"/>
        </w:rPr>
        <w:lastRenderedPageBreak/>
        <w:t>risk of legal consequences</w:t>
      </w:r>
      <w:r w:rsidR="00627C00" w:rsidRPr="00CB6129">
        <w:rPr>
          <w:lang w:val="en-US"/>
        </w:rPr>
        <w:t xml:space="preserve"> </w:t>
      </w:r>
      <w:r w:rsidR="00D95801" w:rsidRPr="00CB6129">
        <w:rPr>
          <w:lang w:val="en-US"/>
        </w:rPr>
        <w:t xml:space="preserve">for the Department of Defense or </w:t>
      </w:r>
      <w:r w:rsidR="00C258AD" w:rsidRPr="00CB6129">
        <w:rPr>
          <w:lang w:val="en-US"/>
        </w:rPr>
        <w:t xml:space="preserve">for </w:t>
      </w:r>
      <w:r w:rsidR="00D95801" w:rsidRPr="00CB6129">
        <w:rPr>
          <w:lang w:val="en-US"/>
        </w:rPr>
        <w:t>the e</w:t>
      </w:r>
      <w:r w:rsidR="00B055C7" w:rsidRPr="00CB6129">
        <w:rPr>
          <w:lang w:val="en-US"/>
        </w:rPr>
        <w:t>xecutive branch more generally.</w:t>
      </w:r>
      <w:r w:rsidR="00B055C7" w:rsidRPr="00CB6129">
        <w:rPr>
          <w:rStyle w:val="Appelnotedebasdep"/>
          <w:lang w:val="en-US"/>
        </w:rPr>
        <w:footnoteReference w:id="28"/>
      </w:r>
    </w:p>
    <w:p w:rsidR="00D95801" w:rsidRPr="00CB6129" w:rsidRDefault="006F7373" w:rsidP="006F7373">
      <w:pPr>
        <w:tabs>
          <w:tab w:val="left" w:pos="1624"/>
        </w:tabs>
        <w:rPr>
          <w:lang w:val="en-US"/>
        </w:rPr>
      </w:pPr>
      <w:r w:rsidRPr="00CB6129">
        <w:rPr>
          <w:lang w:val="en-US"/>
        </w:rPr>
        <w:tab/>
      </w:r>
    </w:p>
    <w:p w:rsidR="005A4D42" w:rsidRPr="00CB6129" w:rsidRDefault="005A4D42" w:rsidP="006F7373">
      <w:pPr>
        <w:tabs>
          <w:tab w:val="left" w:pos="1624"/>
        </w:tabs>
        <w:rPr>
          <w:lang w:val="en-US"/>
        </w:rPr>
      </w:pPr>
    </w:p>
    <w:p w:rsidR="006F7373" w:rsidRPr="00CB6129" w:rsidRDefault="00013E65" w:rsidP="00B055C7">
      <w:pPr>
        <w:rPr>
          <w:lang w:val="en-US"/>
        </w:rPr>
      </w:pPr>
      <w:r w:rsidRPr="00CB6129">
        <w:rPr>
          <w:lang w:val="en-US"/>
        </w:rPr>
        <w:t>U.S. Legal Opt</w:t>
      </w:r>
      <w:r w:rsidR="00B055C7" w:rsidRPr="00CB6129">
        <w:rPr>
          <w:lang w:val="en-US"/>
        </w:rPr>
        <w:t>ions</w:t>
      </w:r>
      <w:r w:rsidRPr="00CB6129">
        <w:rPr>
          <w:lang w:val="en-US"/>
        </w:rPr>
        <w:t xml:space="preserve">: </w:t>
      </w:r>
      <w:r w:rsidR="00544606" w:rsidRPr="00CB6129">
        <w:rPr>
          <w:lang w:val="en-US"/>
        </w:rPr>
        <w:t xml:space="preserve">Terminating the Lease </w:t>
      </w:r>
      <w:r w:rsidR="006F7373" w:rsidRPr="00CB6129">
        <w:rPr>
          <w:lang w:val="en-US"/>
        </w:rPr>
        <w:t>by Virtue of its Form</w:t>
      </w:r>
    </w:p>
    <w:p w:rsidR="00CA154F" w:rsidRPr="00CB6129" w:rsidRDefault="00CA154F" w:rsidP="009D2A5C">
      <w:pPr>
        <w:rPr>
          <w:lang w:val="en-US"/>
        </w:rPr>
      </w:pPr>
    </w:p>
    <w:p w:rsidR="008B6AA1" w:rsidRPr="00CB6129" w:rsidRDefault="00E235AA" w:rsidP="005F6502">
      <w:pPr>
        <w:rPr>
          <w:lang w:val="en-US"/>
        </w:rPr>
      </w:pPr>
      <w:r w:rsidRPr="00CB6129">
        <w:rPr>
          <w:lang w:val="en-US"/>
        </w:rPr>
        <w:tab/>
      </w:r>
      <w:r w:rsidR="00013E65" w:rsidRPr="00CB6129">
        <w:rPr>
          <w:lang w:val="en-US"/>
        </w:rPr>
        <w:t>Certain aspec</w:t>
      </w:r>
      <w:r w:rsidR="00567C85" w:rsidRPr="00CB6129">
        <w:rPr>
          <w:lang w:val="en-US"/>
        </w:rPr>
        <w:t xml:space="preserve">ts of law that </w:t>
      </w:r>
      <w:r w:rsidR="00013E65" w:rsidRPr="00CB6129">
        <w:rPr>
          <w:lang w:val="en-US"/>
        </w:rPr>
        <w:t xml:space="preserve">could allow the United States to </w:t>
      </w:r>
      <w:r w:rsidRPr="00CB6129">
        <w:rPr>
          <w:lang w:val="en-US"/>
        </w:rPr>
        <w:t xml:space="preserve">return </w:t>
      </w:r>
      <w:r w:rsidR="00013E65" w:rsidRPr="00CB6129">
        <w:rPr>
          <w:lang w:val="en-US"/>
        </w:rPr>
        <w:t>c</w:t>
      </w:r>
      <w:r w:rsidRPr="00CB6129">
        <w:rPr>
          <w:lang w:val="en-US"/>
        </w:rPr>
        <w:t>ontrol of Guantanamo Bay to Cuba</w:t>
      </w:r>
      <w:r w:rsidR="00567C85" w:rsidRPr="00CB6129">
        <w:rPr>
          <w:lang w:val="en-US"/>
        </w:rPr>
        <w:t xml:space="preserve"> pertain to </w:t>
      </w:r>
      <w:r w:rsidR="00013E65" w:rsidRPr="00CB6129">
        <w:rPr>
          <w:lang w:val="en-US"/>
        </w:rPr>
        <w:t xml:space="preserve">how the lease may be terminated. These refer to both the form and the content of the arrangement. </w:t>
      </w:r>
      <w:r w:rsidR="00567C85" w:rsidRPr="00CB6129">
        <w:rPr>
          <w:lang w:val="en-US"/>
        </w:rPr>
        <w:t xml:space="preserve">With respect to its form, the two 1903 agreements that comprise the </w:t>
      </w:r>
      <w:r w:rsidR="00013E65" w:rsidRPr="00CB6129">
        <w:rPr>
          <w:lang w:val="en-US"/>
        </w:rPr>
        <w:t>lease</w:t>
      </w:r>
      <w:r w:rsidR="00D5048D" w:rsidRPr="00CB6129">
        <w:rPr>
          <w:lang w:val="en-US"/>
        </w:rPr>
        <w:t xml:space="preserve"> </w:t>
      </w:r>
      <w:r w:rsidR="00567C85" w:rsidRPr="00CB6129">
        <w:rPr>
          <w:lang w:val="en-US"/>
        </w:rPr>
        <w:t xml:space="preserve">– the February executive agreement and the July treaty – are </w:t>
      </w:r>
      <w:r w:rsidR="005E2A91" w:rsidRPr="00CB6129">
        <w:rPr>
          <w:lang w:val="en-US"/>
        </w:rPr>
        <w:t xml:space="preserve">legally </w:t>
      </w:r>
      <w:r w:rsidR="00567C85" w:rsidRPr="00CB6129">
        <w:rPr>
          <w:lang w:val="en-US"/>
        </w:rPr>
        <w:t xml:space="preserve">equivalent </w:t>
      </w:r>
      <w:r w:rsidR="005E2A91" w:rsidRPr="00CB6129">
        <w:rPr>
          <w:lang w:val="en-US"/>
        </w:rPr>
        <w:t>in terms of engaging the United States</w:t>
      </w:r>
      <w:r w:rsidR="00D5048D" w:rsidRPr="00CB6129">
        <w:rPr>
          <w:lang w:val="en-US"/>
        </w:rPr>
        <w:t xml:space="preserve"> at the bilateral level. </w:t>
      </w:r>
      <w:r w:rsidR="00C46FB4" w:rsidRPr="00CB6129">
        <w:rPr>
          <w:lang w:val="en-US"/>
        </w:rPr>
        <w:t>While a</w:t>
      </w:r>
      <w:r w:rsidR="002C2D4C" w:rsidRPr="00CB6129">
        <w:rPr>
          <w:lang w:val="en-US"/>
        </w:rPr>
        <w:t>n executive agreement does not require</w:t>
      </w:r>
      <w:r w:rsidR="00C46FB4" w:rsidRPr="00CB6129">
        <w:rPr>
          <w:lang w:val="en-US"/>
        </w:rPr>
        <w:t xml:space="preserve"> approval by </w:t>
      </w:r>
      <w:r w:rsidR="002C2D4C" w:rsidRPr="00CB6129">
        <w:rPr>
          <w:lang w:val="en-US"/>
        </w:rPr>
        <w:t xml:space="preserve">Congress </w:t>
      </w:r>
      <w:r w:rsidR="00C46FB4" w:rsidRPr="00CB6129">
        <w:rPr>
          <w:lang w:val="en-US"/>
        </w:rPr>
        <w:t>and</w:t>
      </w:r>
      <w:r w:rsidR="002C2D4C" w:rsidRPr="00CB6129">
        <w:rPr>
          <w:lang w:val="en-US"/>
        </w:rPr>
        <w:t xml:space="preserve"> a treaty </w:t>
      </w:r>
      <w:r w:rsidR="00544606" w:rsidRPr="00CB6129">
        <w:rPr>
          <w:lang w:val="en-US"/>
        </w:rPr>
        <w:t xml:space="preserve">does (it </w:t>
      </w:r>
      <w:r w:rsidR="002C2D4C" w:rsidRPr="00CB6129">
        <w:rPr>
          <w:lang w:val="en-US"/>
        </w:rPr>
        <w:t>require</w:t>
      </w:r>
      <w:r w:rsidR="00544606" w:rsidRPr="00CB6129">
        <w:rPr>
          <w:lang w:val="en-US"/>
        </w:rPr>
        <w:t>s</w:t>
      </w:r>
      <w:r w:rsidR="002C2D4C" w:rsidRPr="00CB6129">
        <w:rPr>
          <w:lang w:val="en-US"/>
        </w:rPr>
        <w:t xml:space="preserve"> the consent of two-thirds of the Senate</w:t>
      </w:r>
      <w:r w:rsidR="00681BE9" w:rsidRPr="00CB6129">
        <w:rPr>
          <w:lang w:val="en-US"/>
        </w:rPr>
        <w:t>)</w:t>
      </w:r>
      <w:r w:rsidR="002C2D4C" w:rsidRPr="00CB6129">
        <w:rPr>
          <w:lang w:val="en-US"/>
        </w:rPr>
        <w:t>,</w:t>
      </w:r>
      <w:r w:rsidR="00681BE9" w:rsidRPr="00CB6129">
        <w:rPr>
          <w:rStyle w:val="Appelnotedebasdep"/>
          <w:lang w:val="en-US"/>
        </w:rPr>
        <w:footnoteReference w:id="29"/>
      </w:r>
      <w:r w:rsidR="002C2D4C" w:rsidRPr="00CB6129">
        <w:rPr>
          <w:lang w:val="en-US"/>
        </w:rPr>
        <w:t xml:space="preserve"> the two types of a</w:t>
      </w:r>
      <w:r w:rsidR="00013E65" w:rsidRPr="00CB6129">
        <w:rPr>
          <w:lang w:val="en-US"/>
        </w:rPr>
        <w:t>ccord</w:t>
      </w:r>
      <w:r w:rsidR="002C2D4C" w:rsidRPr="00CB6129">
        <w:rPr>
          <w:lang w:val="en-US"/>
        </w:rPr>
        <w:t>s assume the same character</w:t>
      </w:r>
      <w:r w:rsidR="008B6AA1" w:rsidRPr="00CB6129">
        <w:rPr>
          <w:lang w:val="en-US"/>
        </w:rPr>
        <w:t xml:space="preserve"> </w:t>
      </w:r>
      <w:r w:rsidR="00D5048D" w:rsidRPr="00CB6129">
        <w:rPr>
          <w:lang w:val="en-US"/>
        </w:rPr>
        <w:t xml:space="preserve">by </w:t>
      </w:r>
      <w:r w:rsidR="008B6AA1" w:rsidRPr="00CB6129">
        <w:rPr>
          <w:lang w:val="en-US"/>
        </w:rPr>
        <w:t>creating international obligations for the United States.</w:t>
      </w:r>
      <w:r w:rsidR="00B86A12" w:rsidRPr="00CB6129">
        <w:rPr>
          <w:rStyle w:val="Appelnotedebasdep"/>
          <w:lang w:val="en-US"/>
        </w:rPr>
        <w:footnoteReference w:id="30"/>
      </w:r>
      <w:r w:rsidR="008B6AA1" w:rsidRPr="00CB6129">
        <w:rPr>
          <w:lang w:val="en-US"/>
        </w:rPr>
        <w:t xml:space="preserve"> International law </w:t>
      </w:r>
      <w:r w:rsidR="00C46FB4" w:rsidRPr="00CB6129">
        <w:rPr>
          <w:lang w:val="en-US"/>
        </w:rPr>
        <w:t xml:space="preserve">considers them </w:t>
      </w:r>
      <w:r w:rsidR="008B6AA1" w:rsidRPr="00CB6129">
        <w:rPr>
          <w:lang w:val="en-US"/>
        </w:rPr>
        <w:t>identical for purposes of the norms that govern agreements</w:t>
      </w:r>
      <w:r w:rsidR="00681BE9" w:rsidRPr="00CB6129">
        <w:rPr>
          <w:lang w:val="en-US"/>
        </w:rPr>
        <w:t xml:space="preserve"> between states</w:t>
      </w:r>
      <w:r w:rsidR="00C46FB4" w:rsidRPr="00CB6129">
        <w:rPr>
          <w:lang w:val="en-US"/>
        </w:rPr>
        <w:t xml:space="preserve">; </w:t>
      </w:r>
      <w:r w:rsidR="008B6AA1" w:rsidRPr="00CB6129">
        <w:rPr>
          <w:lang w:val="en-US"/>
        </w:rPr>
        <w:t>most notably</w:t>
      </w:r>
      <w:r w:rsidR="00C46FB4" w:rsidRPr="00CB6129">
        <w:rPr>
          <w:lang w:val="en-US"/>
        </w:rPr>
        <w:t>,</w:t>
      </w:r>
      <w:r w:rsidR="008B6AA1" w:rsidRPr="00CB6129">
        <w:rPr>
          <w:lang w:val="en-US"/>
        </w:rPr>
        <w:t xml:space="preserve"> the Vienna Convention on the Law of Treaties defines a “treaty” as “an </w:t>
      </w:r>
      <w:r w:rsidR="00681BE9" w:rsidRPr="00CB6129">
        <w:rPr>
          <w:lang w:val="en-US"/>
        </w:rPr>
        <w:t>(</w:t>
      </w:r>
      <w:r w:rsidR="00681BE9" w:rsidRPr="00CB6129">
        <w:rPr>
          <w:i/>
          <w:lang w:val="en-US"/>
        </w:rPr>
        <w:t>i.e</w:t>
      </w:r>
      <w:r w:rsidR="00681BE9" w:rsidRPr="00CB6129">
        <w:rPr>
          <w:lang w:val="en-US"/>
        </w:rPr>
        <w:t xml:space="preserve">., any) </w:t>
      </w:r>
      <w:r w:rsidR="008B6AA1" w:rsidRPr="00CB6129">
        <w:rPr>
          <w:lang w:val="en-US"/>
        </w:rPr>
        <w:t>international agreement concluded between States in written form and governed by international law.”</w:t>
      </w:r>
      <w:r w:rsidR="00C46FB4" w:rsidRPr="00CB6129">
        <w:rPr>
          <w:rStyle w:val="Appelnotedebasdep"/>
          <w:lang w:val="en-US"/>
        </w:rPr>
        <w:footnoteReference w:id="31"/>
      </w:r>
      <w:r w:rsidR="008B6AA1" w:rsidRPr="00CB6129">
        <w:rPr>
          <w:lang w:val="en-US"/>
        </w:rPr>
        <w:t xml:space="preserve"> </w:t>
      </w:r>
      <w:r w:rsidR="00C46FB4" w:rsidRPr="00CB6129">
        <w:rPr>
          <w:lang w:val="en-US"/>
        </w:rPr>
        <w:t>(</w:t>
      </w:r>
      <w:r w:rsidR="00D5048D" w:rsidRPr="00CB6129">
        <w:rPr>
          <w:lang w:val="en-US"/>
        </w:rPr>
        <w:t xml:space="preserve">The Convention itself has not received the U.S. Senate’s consent, but </w:t>
      </w:r>
      <w:r w:rsidR="00681BE9" w:rsidRPr="00CB6129">
        <w:rPr>
          <w:lang w:val="en-US"/>
        </w:rPr>
        <w:t>it is generally accepted as customary international law that applies to all states, a view broadly shared by the United States.</w:t>
      </w:r>
      <w:r w:rsidR="00C46FB4" w:rsidRPr="00CB6129">
        <w:rPr>
          <w:rStyle w:val="Appelnotedebasdep"/>
          <w:lang w:val="en-US"/>
        </w:rPr>
        <w:footnoteReference w:id="32"/>
      </w:r>
      <w:r w:rsidR="00681BE9" w:rsidRPr="00CB6129">
        <w:rPr>
          <w:lang w:val="en-US"/>
        </w:rPr>
        <w:t>)</w:t>
      </w:r>
    </w:p>
    <w:p w:rsidR="008B6AA1" w:rsidRPr="00CB6129" w:rsidRDefault="00B86A12" w:rsidP="005F6502">
      <w:pPr>
        <w:rPr>
          <w:lang w:val="en-US"/>
        </w:rPr>
      </w:pPr>
      <w:r w:rsidRPr="00CB6129">
        <w:rPr>
          <w:lang w:val="en-US"/>
        </w:rPr>
        <w:tab/>
      </w:r>
      <w:r w:rsidR="00D5048D" w:rsidRPr="00CB6129">
        <w:rPr>
          <w:lang w:val="en-US"/>
        </w:rPr>
        <w:t>A</w:t>
      </w:r>
      <w:r w:rsidRPr="00CB6129">
        <w:rPr>
          <w:lang w:val="en-US"/>
        </w:rPr>
        <w:t>n</w:t>
      </w:r>
      <w:r w:rsidR="009061CB" w:rsidRPr="00CB6129">
        <w:rPr>
          <w:lang w:val="en-US"/>
        </w:rPr>
        <w:t>y U.S.</w:t>
      </w:r>
      <w:r w:rsidRPr="00CB6129">
        <w:rPr>
          <w:lang w:val="en-US"/>
        </w:rPr>
        <w:t xml:space="preserve"> </w:t>
      </w:r>
      <w:r w:rsidR="009061CB" w:rsidRPr="00CB6129">
        <w:rPr>
          <w:lang w:val="en-US"/>
        </w:rPr>
        <w:t>bilateral agreement, regardless of its type, may be altered or terminated by another agreement</w:t>
      </w:r>
      <w:r w:rsidR="00D5048D" w:rsidRPr="00CB6129">
        <w:rPr>
          <w:lang w:val="en-US"/>
        </w:rPr>
        <w:t>,</w:t>
      </w:r>
      <w:r w:rsidR="009061CB" w:rsidRPr="00CB6129">
        <w:rPr>
          <w:lang w:val="en-US"/>
        </w:rPr>
        <w:t xml:space="preserve"> regardless of its type, between the same parties. In the case of </w:t>
      </w:r>
      <w:r w:rsidR="00D5048D" w:rsidRPr="00CB6129">
        <w:rPr>
          <w:lang w:val="en-US"/>
        </w:rPr>
        <w:t>an executive agreement</w:t>
      </w:r>
      <w:r w:rsidR="009061CB" w:rsidRPr="00CB6129">
        <w:rPr>
          <w:lang w:val="en-US"/>
        </w:rPr>
        <w:t xml:space="preserve"> that did not </w:t>
      </w:r>
      <w:r w:rsidR="000C0919" w:rsidRPr="00CB6129">
        <w:rPr>
          <w:lang w:val="en-US"/>
        </w:rPr>
        <w:t>entail</w:t>
      </w:r>
      <w:r w:rsidR="009061CB" w:rsidRPr="00CB6129">
        <w:rPr>
          <w:lang w:val="en-US"/>
        </w:rPr>
        <w:t xml:space="preserve"> Congressional approval, it is logical that </w:t>
      </w:r>
      <w:r w:rsidR="00D5048D" w:rsidRPr="00CB6129">
        <w:rPr>
          <w:lang w:val="en-US"/>
        </w:rPr>
        <w:t>its</w:t>
      </w:r>
      <w:r w:rsidR="009061CB" w:rsidRPr="00CB6129">
        <w:rPr>
          <w:lang w:val="en-US"/>
        </w:rPr>
        <w:t xml:space="preserve"> terminat</w:t>
      </w:r>
      <w:r w:rsidR="00D5048D" w:rsidRPr="00CB6129">
        <w:rPr>
          <w:lang w:val="en-US"/>
        </w:rPr>
        <w:t xml:space="preserve">ion </w:t>
      </w:r>
      <w:r w:rsidR="00681BE9" w:rsidRPr="00CB6129">
        <w:rPr>
          <w:lang w:val="en-US"/>
        </w:rPr>
        <w:t xml:space="preserve">can </w:t>
      </w:r>
      <w:r w:rsidR="003A49FD" w:rsidRPr="00CB6129">
        <w:rPr>
          <w:lang w:val="en-US"/>
        </w:rPr>
        <w:t xml:space="preserve">also </w:t>
      </w:r>
      <w:r w:rsidR="000C0919" w:rsidRPr="00CB6129">
        <w:rPr>
          <w:lang w:val="en-US"/>
        </w:rPr>
        <w:t xml:space="preserve">be </w:t>
      </w:r>
      <w:r w:rsidR="00013E65" w:rsidRPr="00CB6129">
        <w:rPr>
          <w:lang w:val="en-US"/>
        </w:rPr>
        <w:t>effected</w:t>
      </w:r>
      <w:r w:rsidR="000C0919" w:rsidRPr="00CB6129">
        <w:rPr>
          <w:lang w:val="en-US"/>
        </w:rPr>
        <w:t xml:space="preserve"> through </w:t>
      </w:r>
      <w:r w:rsidR="00D5048D" w:rsidRPr="00CB6129">
        <w:rPr>
          <w:lang w:val="en-US"/>
        </w:rPr>
        <w:t>a</w:t>
      </w:r>
      <w:r w:rsidR="000C0919" w:rsidRPr="00CB6129">
        <w:rPr>
          <w:lang w:val="en-US"/>
        </w:rPr>
        <w:t xml:space="preserve"> new</w:t>
      </w:r>
      <w:r w:rsidR="00D5048D" w:rsidRPr="00CB6129">
        <w:rPr>
          <w:lang w:val="en-US"/>
        </w:rPr>
        <w:t xml:space="preserve"> executive agreement</w:t>
      </w:r>
      <w:r w:rsidR="000C0919" w:rsidRPr="00CB6129">
        <w:rPr>
          <w:lang w:val="en-US"/>
        </w:rPr>
        <w:t xml:space="preserve">. But </w:t>
      </w:r>
      <w:r w:rsidR="00D65781" w:rsidRPr="00CB6129">
        <w:rPr>
          <w:lang w:val="en-US"/>
        </w:rPr>
        <w:t xml:space="preserve">when the process of ending a bilateral agreement depends only on unilateral action by the United States – as is the case with the Guantanamo Bay lease – </w:t>
      </w:r>
      <w:r w:rsidR="00013E65" w:rsidRPr="00CB6129">
        <w:rPr>
          <w:lang w:val="en-US"/>
        </w:rPr>
        <w:t xml:space="preserve">the matter becomes </w:t>
      </w:r>
      <w:r w:rsidR="00D65781" w:rsidRPr="00CB6129">
        <w:rPr>
          <w:lang w:val="en-US"/>
        </w:rPr>
        <w:t xml:space="preserve">simpler: </w:t>
      </w:r>
      <w:r w:rsidR="005E588D" w:rsidRPr="00CB6129">
        <w:rPr>
          <w:lang w:val="en-US"/>
        </w:rPr>
        <w:t xml:space="preserve">the predominant view among U.S. constitutional scholars is that </w:t>
      </w:r>
      <w:r w:rsidR="00D65781" w:rsidRPr="00CB6129">
        <w:rPr>
          <w:lang w:val="en-US"/>
        </w:rPr>
        <w:t xml:space="preserve">the president </w:t>
      </w:r>
      <w:r w:rsidR="00765C3E" w:rsidRPr="00CB6129">
        <w:rPr>
          <w:lang w:val="en-US"/>
        </w:rPr>
        <w:t xml:space="preserve">has </w:t>
      </w:r>
      <w:r w:rsidR="003A49FD" w:rsidRPr="00CB6129">
        <w:rPr>
          <w:lang w:val="en-US"/>
        </w:rPr>
        <w:t xml:space="preserve">the </w:t>
      </w:r>
      <w:r w:rsidR="005E588D" w:rsidRPr="00CB6129">
        <w:rPr>
          <w:lang w:val="en-US"/>
        </w:rPr>
        <w:t xml:space="preserve">legal </w:t>
      </w:r>
      <w:r w:rsidR="003A49FD" w:rsidRPr="00CB6129">
        <w:rPr>
          <w:lang w:val="en-US"/>
        </w:rPr>
        <w:t xml:space="preserve">authority to </w:t>
      </w:r>
      <w:r w:rsidR="005A4D42" w:rsidRPr="00CB6129">
        <w:rPr>
          <w:lang w:val="en-US"/>
        </w:rPr>
        <w:t>do this without consulting Congress.</w:t>
      </w:r>
      <w:r w:rsidR="005E588D" w:rsidRPr="00CB6129">
        <w:rPr>
          <w:rStyle w:val="Appelnotedebasdep"/>
          <w:lang w:val="en-US"/>
        </w:rPr>
        <w:footnoteReference w:id="33"/>
      </w:r>
    </w:p>
    <w:p w:rsidR="008713F4" w:rsidRPr="00CB6129" w:rsidRDefault="008713F4" w:rsidP="008713F4">
      <w:pPr>
        <w:rPr>
          <w:lang w:val="en-US"/>
        </w:rPr>
      </w:pPr>
    </w:p>
    <w:p w:rsidR="008713F4" w:rsidRPr="00CB6129" w:rsidRDefault="008713F4" w:rsidP="008713F4">
      <w:pPr>
        <w:rPr>
          <w:lang w:val="en-US"/>
        </w:rPr>
      </w:pPr>
      <w:r w:rsidRPr="00CB6129">
        <w:rPr>
          <w:lang w:val="en-US"/>
        </w:rPr>
        <w:tab/>
        <w:t xml:space="preserve">Presidents do not appear to be constrained legally in their decision to </w:t>
      </w:r>
    </w:p>
    <w:p w:rsidR="008713F4" w:rsidRPr="00CB6129" w:rsidRDefault="008713F4" w:rsidP="008713F4">
      <w:pPr>
        <w:rPr>
          <w:lang w:val="en-US"/>
        </w:rPr>
      </w:pPr>
      <w:r w:rsidRPr="00CB6129">
        <w:rPr>
          <w:lang w:val="en-US"/>
        </w:rPr>
        <w:tab/>
      </w:r>
      <w:proofErr w:type="gramStart"/>
      <w:r w:rsidRPr="00CB6129">
        <w:rPr>
          <w:lang w:val="en-US"/>
        </w:rPr>
        <w:t>terminate</w:t>
      </w:r>
      <w:proofErr w:type="gramEnd"/>
      <w:r w:rsidRPr="00CB6129">
        <w:rPr>
          <w:lang w:val="en-US"/>
        </w:rPr>
        <w:t xml:space="preserve"> treaties. To be sure, the unilateral termination of a treaty by a </w:t>
      </w:r>
    </w:p>
    <w:p w:rsidR="008713F4" w:rsidRPr="00CB6129" w:rsidRDefault="008713F4" w:rsidP="008713F4">
      <w:pPr>
        <w:rPr>
          <w:lang w:val="en-US"/>
        </w:rPr>
      </w:pPr>
      <w:r w:rsidRPr="00CB6129">
        <w:rPr>
          <w:lang w:val="en-US"/>
        </w:rPr>
        <w:tab/>
      </w:r>
      <w:proofErr w:type="gramStart"/>
      <w:r w:rsidRPr="00CB6129">
        <w:rPr>
          <w:lang w:val="en-US"/>
        </w:rPr>
        <w:t>president</w:t>
      </w:r>
      <w:proofErr w:type="gramEnd"/>
      <w:r w:rsidRPr="00CB6129">
        <w:rPr>
          <w:lang w:val="en-US"/>
        </w:rPr>
        <w:t xml:space="preserve"> is uncommon in practice and raises serious domestic and </w:t>
      </w:r>
    </w:p>
    <w:p w:rsidR="008713F4" w:rsidRPr="00CB6129" w:rsidRDefault="008713F4" w:rsidP="008713F4">
      <w:pPr>
        <w:rPr>
          <w:lang w:val="en-US"/>
        </w:rPr>
      </w:pPr>
      <w:r w:rsidRPr="00CB6129">
        <w:rPr>
          <w:lang w:val="en-US"/>
        </w:rPr>
        <w:tab/>
      </w:r>
      <w:proofErr w:type="gramStart"/>
      <w:r w:rsidRPr="00CB6129">
        <w:rPr>
          <w:lang w:val="en-US"/>
        </w:rPr>
        <w:t>international</w:t>
      </w:r>
      <w:proofErr w:type="gramEnd"/>
      <w:r w:rsidRPr="00CB6129">
        <w:rPr>
          <w:lang w:val="en-US"/>
        </w:rPr>
        <w:t xml:space="preserve"> political questions, however, the Supreme Court has concluded </w:t>
      </w:r>
    </w:p>
    <w:p w:rsidR="008713F4" w:rsidRPr="00CB6129" w:rsidRDefault="008713F4" w:rsidP="008713F4">
      <w:pPr>
        <w:rPr>
          <w:lang w:val="en-US"/>
        </w:rPr>
      </w:pPr>
      <w:r w:rsidRPr="00CB6129">
        <w:rPr>
          <w:lang w:val="en-US"/>
        </w:rPr>
        <w:tab/>
      </w:r>
      <w:proofErr w:type="gramStart"/>
      <w:r w:rsidRPr="00CB6129">
        <w:rPr>
          <w:lang w:val="en-US"/>
        </w:rPr>
        <w:t>that</w:t>
      </w:r>
      <w:proofErr w:type="gramEnd"/>
      <w:r w:rsidRPr="00CB6129">
        <w:rPr>
          <w:lang w:val="en-US"/>
        </w:rPr>
        <w:t xml:space="preserve"> treaty termination is a power of the executive.</w:t>
      </w:r>
      <w:r w:rsidRPr="00CB6129">
        <w:rPr>
          <w:rStyle w:val="Appelnotedebasdep"/>
          <w:lang w:val="en-US"/>
        </w:rPr>
        <w:footnoteReference w:id="34"/>
      </w:r>
    </w:p>
    <w:p w:rsidR="00D3353D" w:rsidRPr="00CB6129" w:rsidRDefault="00D3353D" w:rsidP="008713F4">
      <w:pPr>
        <w:rPr>
          <w:lang w:val="en-US"/>
        </w:rPr>
      </w:pPr>
    </w:p>
    <w:p w:rsidR="005A4D42" w:rsidRPr="00CB6129" w:rsidRDefault="008B6AA1" w:rsidP="005A4D42">
      <w:pPr>
        <w:rPr>
          <w:lang w:val="en-US"/>
        </w:rPr>
      </w:pPr>
      <w:r w:rsidRPr="00CB6129">
        <w:rPr>
          <w:lang w:val="en-US"/>
        </w:rPr>
        <w:tab/>
        <w:t>Despite th</w:t>
      </w:r>
      <w:r w:rsidR="00CA7853" w:rsidRPr="00CB6129">
        <w:rPr>
          <w:lang w:val="en-US"/>
        </w:rPr>
        <w:t>eir</w:t>
      </w:r>
      <w:r w:rsidR="00D5048D" w:rsidRPr="00CB6129">
        <w:rPr>
          <w:lang w:val="en-US"/>
        </w:rPr>
        <w:t xml:space="preserve"> </w:t>
      </w:r>
      <w:r w:rsidR="005E588D" w:rsidRPr="00CB6129">
        <w:rPr>
          <w:lang w:val="en-US"/>
        </w:rPr>
        <w:t xml:space="preserve">legal </w:t>
      </w:r>
      <w:r w:rsidR="00D5048D" w:rsidRPr="00CB6129">
        <w:rPr>
          <w:lang w:val="en-US"/>
        </w:rPr>
        <w:t>equivalency a</w:t>
      </w:r>
      <w:r w:rsidR="00E45AF1" w:rsidRPr="00CB6129">
        <w:rPr>
          <w:lang w:val="en-US"/>
        </w:rPr>
        <w:t>s bilateral instruments</w:t>
      </w:r>
      <w:r w:rsidR="009061CB" w:rsidRPr="00CB6129">
        <w:rPr>
          <w:lang w:val="en-US"/>
        </w:rPr>
        <w:t>, t</w:t>
      </w:r>
      <w:r w:rsidR="005F6502" w:rsidRPr="00CB6129">
        <w:rPr>
          <w:lang w:val="en-US"/>
        </w:rPr>
        <w:t>he</w:t>
      </w:r>
      <w:r w:rsidRPr="00CB6129">
        <w:rPr>
          <w:lang w:val="en-US"/>
        </w:rPr>
        <w:t xml:space="preserve"> </w:t>
      </w:r>
      <w:r w:rsidR="00E45AF1" w:rsidRPr="00CB6129">
        <w:rPr>
          <w:lang w:val="en-US"/>
        </w:rPr>
        <w:t xml:space="preserve">February 1903 executive agreement and July 1903 </w:t>
      </w:r>
      <w:r w:rsidR="005F6502" w:rsidRPr="00CB6129">
        <w:rPr>
          <w:lang w:val="en-US"/>
        </w:rPr>
        <w:t xml:space="preserve">treaty </w:t>
      </w:r>
      <w:r w:rsidR="00CA7853" w:rsidRPr="00CB6129">
        <w:rPr>
          <w:lang w:val="en-US"/>
        </w:rPr>
        <w:t xml:space="preserve">that comprise the lease of Guantanamo Bay </w:t>
      </w:r>
      <w:r w:rsidR="005F6502" w:rsidRPr="00CB6129">
        <w:rPr>
          <w:lang w:val="en-US"/>
        </w:rPr>
        <w:t xml:space="preserve">are not equivalent </w:t>
      </w:r>
      <w:r w:rsidR="005E588D" w:rsidRPr="00CB6129">
        <w:rPr>
          <w:lang w:val="en-US"/>
        </w:rPr>
        <w:t>with</w:t>
      </w:r>
      <w:r w:rsidR="005F6502" w:rsidRPr="00CB6129">
        <w:rPr>
          <w:lang w:val="en-US"/>
        </w:rPr>
        <w:t xml:space="preserve">in </w:t>
      </w:r>
      <w:r w:rsidR="005A4D42" w:rsidRPr="00CB6129">
        <w:rPr>
          <w:lang w:val="en-US"/>
        </w:rPr>
        <w:t xml:space="preserve">the U.S. </w:t>
      </w:r>
      <w:r w:rsidR="005F6502" w:rsidRPr="00CB6129">
        <w:rPr>
          <w:lang w:val="en-US"/>
        </w:rPr>
        <w:t>legal hierarchy</w:t>
      </w:r>
      <w:r w:rsidR="00E45AF1" w:rsidRPr="00CB6129">
        <w:rPr>
          <w:lang w:val="en-US"/>
        </w:rPr>
        <w:t xml:space="preserve">. </w:t>
      </w:r>
      <w:r w:rsidR="00CA7853" w:rsidRPr="00CB6129">
        <w:rPr>
          <w:lang w:val="en-US"/>
        </w:rPr>
        <w:t xml:space="preserve">The </w:t>
      </w:r>
      <w:r w:rsidR="005F6502" w:rsidRPr="00CB6129">
        <w:rPr>
          <w:lang w:val="en-US"/>
        </w:rPr>
        <w:t>treaty</w:t>
      </w:r>
      <w:r w:rsidR="00CA7853" w:rsidRPr="00CB6129">
        <w:rPr>
          <w:lang w:val="en-US"/>
        </w:rPr>
        <w:t>’s “object and purpose” was to</w:t>
      </w:r>
      <w:r w:rsidR="002C2D4C" w:rsidRPr="00CB6129">
        <w:rPr>
          <w:lang w:val="en-US"/>
        </w:rPr>
        <w:t xml:space="preserve"> add</w:t>
      </w:r>
      <w:r w:rsidR="00372431" w:rsidRPr="00CB6129">
        <w:rPr>
          <w:lang w:val="en-US"/>
        </w:rPr>
        <w:t xml:space="preserve"> provisions to the </w:t>
      </w:r>
      <w:r w:rsidR="00372431" w:rsidRPr="00CB6129">
        <w:rPr>
          <w:lang w:val="en-US"/>
        </w:rPr>
        <w:lastRenderedPageBreak/>
        <w:t>territorial lease that</w:t>
      </w:r>
      <w:r w:rsidR="00E45AF1" w:rsidRPr="00CB6129">
        <w:rPr>
          <w:lang w:val="en-US"/>
        </w:rPr>
        <w:t xml:space="preserve"> </w:t>
      </w:r>
      <w:r w:rsidR="005F6502" w:rsidRPr="00CB6129">
        <w:rPr>
          <w:lang w:val="en-US"/>
        </w:rPr>
        <w:t>the executive agreement</w:t>
      </w:r>
      <w:r w:rsidR="00372431" w:rsidRPr="00CB6129">
        <w:rPr>
          <w:lang w:val="en-US"/>
        </w:rPr>
        <w:t xml:space="preserve"> had created</w:t>
      </w:r>
      <w:r w:rsidR="00E45AF1" w:rsidRPr="00CB6129">
        <w:rPr>
          <w:lang w:val="en-US"/>
        </w:rPr>
        <w:t xml:space="preserve">; </w:t>
      </w:r>
      <w:r w:rsidR="00372431" w:rsidRPr="00CB6129">
        <w:rPr>
          <w:lang w:val="en-US"/>
        </w:rPr>
        <w:t>i</w:t>
      </w:r>
      <w:r w:rsidR="00E45AF1" w:rsidRPr="00CB6129">
        <w:rPr>
          <w:lang w:val="en-US"/>
        </w:rPr>
        <w:t xml:space="preserve">t is wholly </w:t>
      </w:r>
      <w:r w:rsidR="00372431" w:rsidRPr="00CB6129">
        <w:rPr>
          <w:lang w:val="en-US"/>
        </w:rPr>
        <w:t xml:space="preserve">dependent </w:t>
      </w:r>
      <w:r w:rsidR="005A4D42" w:rsidRPr="00CB6129">
        <w:rPr>
          <w:lang w:val="en-US"/>
        </w:rPr>
        <w:t>on the existence of the executive agreement, and has meaning and effect only so long as the executive agreement is in force.</w:t>
      </w:r>
      <w:r w:rsidR="005A4D42" w:rsidRPr="00CB6129">
        <w:rPr>
          <w:rStyle w:val="Appelnotedebasdep"/>
          <w:lang w:val="en-US"/>
        </w:rPr>
        <w:footnoteReference w:id="35"/>
      </w:r>
      <w:r w:rsidR="005A4D42" w:rsidRPr="00CB6129">
        <w:rPr>
          <w:lang w:val="en-US"/>
        </w:rPr>
        <w:t xml:space="preserve"> Thus, the U.S. president may end the lease of Guantanamo Bay by terminating the executive agreement, either as a discrete act or through a new accord with Cuba. The president could terminate the treaty as well, but in the absence of a complete consensus on the president’s constitutional authority to end a treaty without Congressional approval, the termination of the executive agreement alone would be sufficient. In this case, the treaty would continue to exist as an obsolete instrument void of any legal relevance.</w:t>
      </w:r>
    </w:p>
    <w:p w:rsidR="00396E9C" w:rsidRPr="00CB6129" w:rsidRDefault="005E588D" w:rsidP="005F6502">
      <w:pPr>
        <w:rPr>
          <w:lang w:val="en-US"/>
        </w:rPr>
      </w:pPr>
      <w:r w:rsidRPr="00CB6129">
        <w:rPr>
          <w:lang w:val="en-US"/>
        </w:rPr>
        <w:t xml:space="preserve"> </w:t>
      </w:r>
    </w:p>
    <w:p w:rsidR="005A4D42" w:rsidRPr="00CB6129" w:rsidRDefault="005A4D42" w:rsidP="005F6502">
      <w:pPr>
        <w:rPr>
          <w:lang w:val="en-US"/>
        </w:rPr>
      </w:pPr>
    </w:p>
    <w:p w:rsidR="00396E9C" w:rsidRPr="00CB6129" w:rsidRDefault="005A4D42" w:rsidP="00396E9C">
      <w:pPr>
        <w:rPr>
          <w:lang w:val="en-US"/>
        </w:rPr>
      </w:pPr>
      <w:r w:rsidRPr="00CB6129">
        <w:rPr>
          <w:lang w:val="en-US"/>
        </w:rPr>
        <w:t xml:space="preserve">U.S. </w:t>
      </w:r>
      <w:r w:rsidR="006F7373" w:rsidRPr="00CB6129">
        <w:rPr>
          <w:lang w:val="en-US"/>
        </w:rPr>
        <w:t>Legal Options: Terminating the Lease by Virtue of its Content</w:t>
      </w:r>
    </w:p>
    <w:p w:rsidR="006F7373" w:rsidRPr="00CB6129" w:rsidRDefault="006F7373" w:rsidP="00396E9C">
      <w:pPr>
        <w:rPr>
          <w:lang w:val="en-US"/>
        </w:rPr>
      </w:pPr>
    </w:p>
    <w:p w:rsidR="00417F41" w:rsidRPr="00CB6129" w:rsidRDefault="00396E9C" w:rsidP="00396E9C">
      <w:pPr>
        <w:rPr>
          <w:lang w:val="en-US"/>
        </w:rPr>
      </w:pPr>
      <w:r w:rsidRPr="00CB6129">
        <w:rPr>
          <w:lang w:val="en-US"/>
        </w:rPr>
        <w:tab/>
        <w:t xml:space="preserve">Under the Vienna Convention on the Law of Treaties, a treaty – or executive agreement – may be terminated in conformity with </w:t>
      </w:r>
      <w:r w:rsidR="001530E1" w:rsidRPr="00CB6129">
        <w:rPr>
          <w:lang w:val="en-US"/>
        </w:rPr>
        <w:t xml:space="preserve">its </w:t>
      </w:r>
      <w:r w:rsidRPr="00CB6129">
        <w:rPr>
          <w:lang w:val="en-US"/>
        </w:rPr>
        <w:t>provisions</w:t>
      </w:r>
      <w:r w:rsidR="001530E1" w:rsidRPr="00CB6129">
        <w:rPr>
          <w:lang w:val="en-US"/>
        </w:rPr>
        <w:t>.</w:t>
      </w:r>
      <w:r w:rsidRPr="00CB6129">
        <w:rPr>
          <w:rStyle w:val="Appelnotedebasdep"/>
          <w:lang w:val="en-US"/>
        </w:rPr>
        <w:footnoteReference w:id="36"/>
      </w:r>
      <w:r w:rsidR="001530E1" w:rsidRPr="00CB6129">
        <w:rPr>
          <w:lang w:val="en-US"/>
        </w:rPr>
        <w:t xml:space="preserve"> As the executive agreement that created the Guantanamo Bay lease specified its duration as “the time required for the purposes of coaling and naval stations,”</w:t>
      </w:r>
      <w:r w:rsidR="001530E1" w:rsidRPr="00CB6129">
        <w:rPr>
          <w:rStyle w:val="Appelnotedebasdep"/>
          <w:lang w:val="en-US"/>
        </w:rPr>
        <w:footnoteReference w:id="37"/>
      </w:r>
      <w:r w:rsidR="001530E1" w:rsidRPr="00CB6129">
        <w:rPr>
          <w:lang w:val="en-US"/>
        </w:rPr>
        <w:t xml:space="preserve"> a decision by the executive branch that the U.S. no longer “requires” the territory for such purposes would automatically cause the lease to end. The moment th</w:t>
      </w:r>
      <w:r w:rsidR="006F7373" w:rsidRPr="00CB6129">
        <w:rPr>
          <w:lang w:val="en-US"/>
        </w:rPr>
        <w:t>e</w:t>
      </w:r>
      <w:r w:rsidR="001530E1" w:rsidRPr="00CB6129">
        <w:rPr>
          <w:lang w:val="en-US"/>
        </w:rPr>
        <w:t xml:space="preserve"> </w:t>
      </w:r>
      <w:r w:rsidR="006F7373" w:rsidRPr="00CB6129">
        <w:rPr>
          <w:lang w:val="en-US"/>
        </w:rPr>
        <w:t>“</w:t>
      </w:r>
      <w:r w:rsidR="001530E1" w:rsidRPr="00CB6129">
        <w:rPr>
          <w:lang w:val="en-US"/>
        </w:rPr>
        <w:t xml:space="preserve">requirement” ceases to exist would become the legal moment of expiration, </w:t>
      </w:r>
      <w:r w:rsidR="006F7373" w:rsidRPr="00CB6129">
        <w:rPr>
          <w:lang w:val="en-US"/>
        </w:rPr>
        <w:t>at which time c</w:t>
      </w:r>
      <w:r w:rsidR="001530E1" w:rsidRPr="00CB6129">
        <w:rPr>
          <w:lang w:val="en-US"/>
        </w:rPr>
        <w:t>ontrol of Guantanamo Bay would revert to Cuba</w:t>
      </w:r>
      <w:r w:rsidR="00417F41" w:rsidRPr="00CB6129">
        <w:rPr>
          <w:lang w:val="en-US"/>
        </w:rPr>
        <w:t xml:space="preserve"> immediately</w:t>
      </w:r>
      <w:r w:rsidR="00C75557" w:rsidRPr="00CB6129">
        <w:rPr>
          <w:lang w:val="en-US"/>
        </w:rPr>
        <w:t xml:space="preserve">, unless the United States and Cuba were to agree on </w:t>
      </w:r>
      <w:r w:rsidR="00417F41" w:rsidRPr="00CB6129">
        <w:rPr>
          <w:lang w:val="en-US"/>
        </w:rPr>
        <w:t xml:space="preserve">a “grace period” or </w:t>
      </w:r>
      <w:r w:rsidR="00C75557" w:rsidRPr="00CB6129">
        <w:rPr>
          <w:lang w:val="en-US"/>
        </w:rPr>
        <w:t>on a specific future handover date.</w:t>
      </w:r>
      <w:r w:rsidR="00417F41" w:rsidRPr="00CB6129">
        <w:rPr>
          <w:rStyle w:val="Appelnotedebasdep"/>
          <w:lang w:val="en-US"/>
        </w:rPr>
        <w:footnoteReference w:id="38"/>
      </w:r>
    </w:p>
    <w:p w:rsidR="008017F2" w:rsidRPr="00CB6129" w:rsidRDefault="006154CA" w:rsidP="00396E9C">
      <w:pPr>
        <w:rPr>
          <w:lang w:val="en-US"/>
        </w:rPr>
      </w:pPr>
      <w:r w:rsidRPr="00CB6129">
        <w:rPr>
          <w:lang w:val="en-US"/>
        </w:rPr>
        <w:tab/>
      </w:r>
      <w:r w:rsidR="006F7373" w:rsidRPr="00CB6129">
        <w:rPr>
          <w:lang w:val="en-US"/>
        </w:rPr>
        <w:t>A determination of m</w:t>
      </w:r>
      <w:r w:rsidRPr="00CB6129">
        <w:rPr>
          <w:lang w:val="en-US"/>
        </w:rPr>
        <w:t xml:space="preserve">ilitary necessity is the only </w:t>
      </w:r>
      <w:r w:rsidR="005A4D42" w:rsidRPr="00CB6129">
        <w:rPr>
          <w:lang w:val="en-US"/>
        </w:rPr>
        <w:t xml:space="preserve">reason for </w:t>
      </w:r>
      <w:r w:rsidRPr="00CB6129">
        <w:rPr>
          <w:lang w:val="en-US"/>
        </w:rPr>
        <w:t>a</w:t>
      </w:r>
      <w:r w:rsidR="006F7373" w:rsidRPr="00CB6129">
        <w:rPr>
          <w:lang w:val="en-US"/>
        </w:rPr>
        <w:t>ny</w:t>
      </w:r>
      <w:r w:rsidRPr="00CB6129">
        <w:rPr>
          <w:lang w:val="en-US"/>
        </w:rPr>
        <w:t xml:space="preserve"> U.S. military facility</w:t>
      </w:r>
      <w:r w:rsidR="006F7373" w:rsidRPr="00CB6129">
        <w:rPr>
          <w:lang w:val="en-US"/>
        </w:rPr>
        <w:t xml:space="preserve"> to be established</w:t>
      </w:r>
      <w:r w:rsidRPr="00CB6129">
        <w:rPr>
          <w:lang w:val="en-US"/>
        </w:rPr>
        <w:t xml:space="preserve">, </w:t>
      </w:r>
      <w:r w:rsidR="006F7373" w:rsidRPr="00CB6129">
        <w:rPr>
          <w:lang w:val="en-US"/>
        </w:rPr>
        <w:t xml:space="preserve">whether domestic or overseas, </w:t>
      </w:r>
      <w:r w:rsidRPr="00CB6129">
        <w:rPr>
          <w:lang w:val="en-US"/>
        </w:rPr>
        <w:t xml:space="preserve">and by extension </w:t>
      </w:r>
      <w:r w:rsidR="006F7373" w:rsidRPr="00CB6129">
        <w:rPr>
          <w:lang w:val="en-US"/>
        </w:rPr>
        <w:t xml:space="preserve">for </w:t>
      </w:r>
      <w:r w:rsidRPr="00CB6129">
        <w:rPr>
          <w:lang w:val="en-US"/>
        </w:rPr>
        <w:t xml:space="preserve">the territory where it is located to be “required.” Any other reason </w:t>
      </w:r>
      <w:r w:rsidR="006F7373" w:rsidRPr="00CB6129">
        <w:rPr>
          <w:lang w:val="en-US"/>
        </w:rPr>
        <w:t xml:space="preserve">that may </w:t>
      </w:r>
      <w:r w:rsidR="008017F2" w:rsidRPr="00CB6129">
        <w:rPr>
          <w:lang w:val="en-US"/>
        </w:rPr>
        <w:t xml:space="preserve">be given as justification for the </w:t>
      </w:r>
      <w:r w:rsidR="00CC2D2E" w:rsidRPr="00CB6129">
        <w:rPr>
          <w:lang w:val="en-US"/>
        </w:rPr>
        <w:t>facility’s existence</w:t>
      </w:r>
      <w:r w:rsidR="006F7373" w:rsidRPr="00CB6129">
        <w:rPr>
          <w:lang w:val="en-US"/>
        </w:rPr>
        <w:t xml:space="preserve">, such as </w:t>
      </w:r>
      <w:r w:rsidR="008017F2" w:rsidRPr="00CB6129">
        <w:rPr>
          <w:lang w:val="en-US"/>
        </w:rPr>
        <w:t xml:space="preserve">military </w:t>
      </w:r>
      <w:r w:rsidR="005A4D42" w:rsidRPr="00CB6129">
        <w:rPr>
          <w:lang w:val="en-US"/>
        </w:rPr>
        <w:t xml:space="preserve">or non-military </w:t>
      </w:r>
      <w:r w:rsidR="006F7373" w:rsidRPr="00CB6129">
        <w:rPr>
          <w:lang w:val="en-US"/>
        </w:rPr>
        <w:t xml:space="preserve">activities that occur </w:t>
      </w:r>
      <w:r w:rsidR="008017F2" w:rsidRPr="00CB6129">
        <w:rPr>
          <w:lang w:val="en-US"/>
        </w:rPr>
        <w:t>there out of convenience but that are not site-specific, create a situation in which the territory in question is desirable but falls short of being absolutely ne</w:t>
      </w:r>
      <w:r w:rsidR="00B75873" w:rsidRPr="00CB6129">
        <w:rPr>
          <w:lang w:val="en-US"/>
        </w:rPr>
        <w:t>cessary</w:t>
      </w:r>
      <w:r w:rsidR="008017F2" w:rsidRPr="00CB6129">
        <w:rPr>
          <w:lang w:val="en-US"/>
        </w:rPr>
        <w:t xml:space="preserve">, </w:t>
      </w:r>
      <w:r w:rsidR="008017F2" w:rsidRPr="00CB6129">
        <w:rPr>
          <w:i/>
          <w:lang w:val="en-US"/>
        </w:rPr>
        <w:t>i.e</w:t>
      </w:r>
      <w:r w:rsidR="008017F2" w:rsidRPr="00CB6129">
        <w:rPr>
          <w:lang w:val="en-US"/>
        </w:rPr>
        <w:t>., “required.”</w:t>
      </w:r>
    </w:p>
    <w:p w:rsidR="00B75873" w:rsidRPr="00CB6129" w:rsidRDefault="00CC2D2E" w:rsidP="00396E9C">
      <w:pPr>
        <w:rPr>
          <w:lang w:val="en-US"/>
        </w:rPr>
      </w:pPr>
      <w:r w:rsidRPr="00CB6129">
        <w:rPr>
          <w:lang w:val="en-US"/>
        </w:rPr>
        <w:tab/>
        <w:t xml:space="preserve">In the case of Guantanamo Bay, the prison for alleged terrorists </w:t>
      </w:r>
      <w:r w:rsidR="00B75873" w:rsidRPr="00CB6129">
        <w:rPr>
          <w:lang w:val="en-US"/>
        </w:rPr>
        <w:t xml:space="preserve">has been the primary activity since it was established in 2002. It </w:t>
      </w:r>
      <w:r w:rsidRPr="00CB6129">
        <w:rPr>
          <w:lang w:val="en-US"/>
        </w:rPr>
        <w:t xml:space="preserve">is operated by a </w:t>
      </w:r>
      <w:r w:rsidR="002717A5" w:rsidRPr="00CB6129">
        <w:rPr>
          <w:lang w:val="en-US"/>
        </w:rPr>
        <w:t>“</w:t>
      </w:r>
      <w:r w:rsidRPr="00CB6129">
        <w:rPr>
          <w:lang w:val="en-US"/>
        </w:rPr>
        <w:t>tenant command,</w:t>
      </w:r>
      <w:r w:rsidR="002717A5" w:rsidRPr="00CB6129">
        <w:rPr>
          <w:lang w:val="en-US"/>
        </w:rPr>
        <w:t>”</w:t>
      </w:r>
      <w:r w:rsidRPr="00CB6129">
        <w:rPr>
          <w:lang w:val="en-US"/>
        </w:rPr>
        <w:t xml:space="preserve"> the Joint Task Force, which, along with the judicial facilities for the prisoners, are </w:t>
      </w:r>
      <w:r w:rsidR="002717A5" w:rsidRPr="00CB6129">
        <w:rPr>
          <w:lang w:val="en-US"/>
        </w:rPr>
        <w:t xml:space="preserve">functions of </w:t>
      </w:r>
      <w:r w:rsidRPr="00CB6129">
        <w:rPr>
          <w:lang w:val="en-US"/>
        </w:rPr>
        <w:t xml:space="preserve">the Department of Defense but are not directly associated with </w:t>
      </w:r>
      <w:r w:rsidR="00B75873" w:rsidRPr="00CB6129">
        <w:rPr>
          <w:lang w:val="en-US"/>
        </w:rPr>
        <w:t>site-specific military needs at Guantanamo Bay.</w:t>
      </w:r>
    </w:p>
    <w:p w:rsidR="00B0737C" w:rsidRPr="00CB6129" w:rsidRDefault="00B75873" w:rsidP="00396E9C">
      <w:pPr>
        <w:rPr>
          <w:lang w:val="en-US"/>
        </w:rPr>
      </w:pPr>
      <w:r w:rsidRPr="00CB6129">
        <w:rPr>
          <w:lang w:val="en-US"/>
        </w:rPr>
        <w:tab/>
        <w:t xml:space="preserve">Indeed, </w:t>
      </w:r>
      <w:r w:rsidR="00097829" w:rsidRPr="00CB6129">
        <w:rPr>
          <w:lang w:val="en-US"/>
        </w:rPr>
        <w:t xml:space="preserve">Guantanamo Bay was not the only </w:t>
      </w:r>
      <w:r w:rsidR="005A4D42" w:rsidRPr="00CB6129">
        <w:rPr>
          <w:lang w:val="en-US"/>
        </w:rPr>
        <w:t xml:space="preserve">place </w:t>
      </w:r>
      <w:r w:rsidR="00097829" w:rsidRPr="00CB6129">
        <w:rPr>
          <w:lang w:val="en-US"/>
        </w:rPr>
        <w:t xml:space="preserve">where the prison could be located, it was simply </w:t>
      </w:r>
      <w:r w:rsidR="00AB7552" w:rsidRPr="00CB6129">
        <w:rPr>
          <w:lang w:val="en-US"/>
        </w:rPr>
        <w:t xml:space="preserve">considered </w:t>
      </w:r>
      <w:r w:rsidR="00097829" w:rsidRPr="00CB6129">
        <w:rPr>
          <w:lang w:val="en-US"/>
        </w:rPr>
        <w:t xml:space="preserve">the </w:t>
      </w:r>
      <w:r w:rsidR="00AB7552" w:rsidRPr="00CB6129">
        <w:rPr>
          <w:lang w:val="en-US"/>
        </w:rPr>
        <w:t>best of various choices</w:t>
      </w:r>
      <w:r w:rsidR="00097829" w:rsidRPr="00CB6129">
        <w:rPr>
          <w:lang w:val="en-US"/>
        </w:rPr>
        <w:t>. T</w:t>
      </w:r>
      <w:r w:rsidRPr="00CB6129">
        <w:rPr>
          <w:lang w:val="en-US"/>
        </w:rPr>
        <w:t xml:space="preserve">he United States selected </w:t>
      </w:r>
      <w:r w:rsidR="00097829" w:rsidRPr="00CB6129">
        <w:rPr>
          <w:lang w:val="en-US"/>
        </w:rPr>
        <w:t>it</w:t>
      </w:r>
      <w:r w:rsidRPr="00CB6129">
        <w:rPr>
          <w:lang w:val="en-US"/>
        </w:rPr>
        <w:t xml:space="preserve"> after weighing various factors</w:t>
      </w:r>
      <w:r w:rsidR="00B0737C" w:rsidRPr="00CB6129">
        <w:rPr>
          <w:lang w:val="en-US"/>
        </w:rPr>
        <w:t xml:space="preserve"> – the impact on U.S. domestic security, the site’s own security, its location, its size, the impact on relations with other states, the risk of litigation by prisoners, and costs</w:t>
      </w:r>
      <w:r w:rsidR="00097829" w:rsidRPr="00CB6129">
        <w:rPr>
          <w:lang w:val="en-US"/>
        </w:rPr>
        <w:t xml:space="preserve"> – and it was deemed to have more a</w:t>
      </w:r>
      <w:r w:rsidRPr="00CB6129">
        <w:rPr>
          <w:lang w:val="en-US"/>
        </w:rPr>
        <w:t>dvantages and fewe</w:t>
      </w:r>
      <w:r w:rsidR="00097829" w:rsidRPr="00CB6129">
        <w:rPr>
          <w:lang w:val="en-US"/>
        </w:rPr>
        <w:t>r</w:t>
      </w:r>
      <w:r w:rsidRPr="00CB6129">
        <w:rPr>
          <w:lang w:val="en-US"/>
        </w:rPr>
        <w:t xml:space="preserve"> disadvantages</w:t>
      </w:r>
      <w:r w:rsidR="00097829" w:rsidRPr="00CB6129">
        <w:rPr>
          <w:lang w:val="en-US"/>
        </w:rPr>
        <w:t xml:space="preserve"> than other </w:t>
      </w:r>
      <w:r w:rsidR="00097829" w:rsidRPr="00CB6129">
        <w:rPr>
          <w:lang w:val="en-US"/>
        </w:rPr>
        <w:lastRenderedPageBreak/>
        <w:t xml:space="preserve">sites on U.S. sovereign territory, </w:t>
      </w:r>
      <w:r w:rsidR="00B0737C" w:rsidRPr="00CB6129">
        <w:rPr>
          <w:lang w:val="en-US"/>
        </w:rPr>
        <w:t>on other territory controlled by the United States (</w:t>
      </w:r>
      <w:r w:rsidR="00B0737C" w:rsidRPr="00CB6129">
        <w:rPr>
          <w:i/>
          <w:lang w:val="en-US"/>
        </w:rPr>
        <w:t>e.g</w:t>
      </w:r>
      <w:r w:rsidR="00B0737C" w:rsidRPr="00CB6129">
        <w:rPr>
          <w:lang w:val="en-US"/>
        </w:rPr>
        <w:t xml:space="preserve">., Guam), </w:t>
      </w:r>
      <w:r w:rsidR="00AB7552" w:rsidRPr="00CB6129">
        <w:rPr>
          <w:lang w:val="en-US"/>
        </w:rPr>
        <w:t xml:space="preserve">or </w:t>
      </w:r>
      <w:r w:rsidR="00097829" w:rsidRPr="00CB6129">
        <w:rPr>
          <w:lang w:val="en-US"/>
        </w:rPr>
        <w:t>in other states.</w:t>
      </w:r>
      <w:r w:rsidR="00097829" w:rsidRPr="00CB6129">
        <w:rPr>
          <w:rStyle w:val="Appelnotedebasdep"/>
          <w:lang w:val="en-US"/>
        </w:rPr>
        <w:footnoteReference w:id="39"/>
      </w:r>
    </w:p>
    <w:p w:rsidR="006814B0" w:rsidRPr="00CB6129" w:rsidRDefault="00F46489" w:rsidP="00F46489">
      <w:pPr>
        <w:rPr>
          <w:lang w:val="en-US"/>
        </w:rPr>
      </w:pPr>
      <w:r w:rsidRPr="00CB6129">
        <w:rPr>
          <w:lang w:val="en-US"/>
        </w:rPr>
        <w:tab/>
      </w:r>
      <w:r w:rsidR="006814B0" w:rsidRPr="00CB6129">
        <w:rPr>
          <w:lang w:val="en-US"/>
        </w:rPr>
        <w:t xml:space="preserve">There is no legally mandated process by which the U.S. president or the executive branch more generally may decide that Guantanamo Bay is no longer “required,” or even when such a determination reaches the point of being considered a decision with the legal effect of triggering the end of the lease. The matter is thus an administrative one, which gives the executive branch considerable leeway in determining how, and by whom, such a decision may come into existence.  </w:t>
      </w:r>
    </w:p>
    <w:p w:rsidR="00F46489" w:rsidRPr="00CB6129" w:rsidRDefault="006814B0" w:rsidP="00F46489">
      <w:pPr>
        <w:rPr>
          <w:rFonts w:eastAsia="Times New Roman" w:cs="Times New Roman"/>
          <w:szCs w:val="24"/>
          <w:bdr w:val="none" w:sz="0" w:space="0" w:color="auto" w:frame="1"/>
          <w:lang w:val="en-US" w:eastAsia="fr-FR"/>
        </w:rPr>
      </w:pPr>
      <w:r w:rsidRPr="00CB6129">
        <w:rPr>
          <w:lang w:val="en-US"/>
        </w:rPr>
        <w:tab/>
        <w:t>Before the prison was created, o</w:t>
      </w:r>
      <w:r w:rsidR="00F46489" w:rsidRPr="00CB6129">
        <w:rPr>
          <w:lang w:val="en-US"/>
        </w:rPr>
        <w:t xml:space="preserve">ther </w:t>
      </w:r>
      <w:r w:rsidR="00F46489" w:rsidRPr="00CB6129">
        <w:rPr>
          <w:rFonts w:eastAsia="Times New Roman" w:cs="Times New Roman"/>
          <w:szCs w:val="24"/>
          <w:bdr w:val="none" w:sz="0" w:space="0" w:color="auto" w:frame="1"/>
          <w:lang w:val="en-US" w:eastAsia="fr-FR"/>
        </w:rPr>
        <w:t>U.S. activities at Guantanamo Bay had d</w:t>
      </w:r>
      <w:r w:rsidR="00EE1ED1" w:rsidRPr="00CB6129">
        <w:rPr>
          <w:rFonts w:eastAsia="Times New Roman" w:cs="Times New Roman"/>
          <w:szCs w:val="24"/>
          <w:bdr w:val="none" w:sz="0" w:space="0" w:color="auto" w:frame="1"/>
          <w:lang w:val="en-US" w:eastAsia="fr-FR"/>
        </w:rPr>
        <w:t>iminish</w:t>
      </w:r>
      <w:r w:rsidR="00F46489" w:rsidRPr="00CB6129">
        <w:rPr>
          <w:rFonts w:eastAsia="Times New Roman" w:cs="Times New Roman"/>
          <w:szCs w:val="24"/>
          <w:bdr w:val="none" w:sz="0" w:space="0" w:color="auto" w:frame="1"/>
          <w:lang w:val="en-US" w:eastAsia="fr-FR"/>
        </w:rPr>
        <w:t>ed to almost n</w:t>
      </w:r>
      <w:r w:rsidR="00EE1ED1" w:rsidRPr="00CB6129">
        <w:rPr>
          <w:rFonts w:eastAsia="Times New Roman" w:cs="Times New Roman"/>
          <w:szCs w:val="24"/>
          <w:bdr w:val="none" w:sz="0" w:space="0" w:color="auto" w:frame="1"/>
          <w:lang w:val="en-US" w:eastAsia="fr-FR"/>
        </w:rPr>
        <w:t>il</w:t>
      </w:r>
      <w:r w:rsidR="00F46489" w:rsidRPr="00CB6129">
        <w:rPr>
          <w:rFonts w:eastAsia="Times New Roman" w:cs="Times New Roman"/>
          <w:szCs w:val="24"/>
          <w:bdr w:val="none" w:sz="0" w:space="0" w:color="auto" w:frame="1"/>
          <w:lang w:val="en-US" w:eastAsia="fr-FR"/>
        </w:rPr>
        <w:t xml:space="preserve">. In 2005, the U.S. Navy quoted the commander at Guantanamo Bay, </w:t>
      </w:r>
      <w:r w:rsidR="00EE1ED1" w:rsidRPr="00CB6129">
        <w:rPr>
          <w:rFonts w:eastAsia="Times New Roman" w:cs="Times New Roman"/>
          <w:szCs w:val="24"/>
          <w:bdr w:val="none" w:sz="0" w:space="0" w:color="auto" w:frame="1"/>
          <w:lang w:val="en-US" w:eastAsia="fr-FR"/>
        </w:rPr>
        <w:t>Leslie J. McCoy</w:t>
      </w:r>
      <w:r w:rsidR="00F46489" w:rsidRPr="00CB6129">
        <w:rPr>
          <w:rFonts w:eastAsia="Times New Roman" w:cs="Times New Roman"/>
          <w:szCs w:val="24"/>
          <w:bdr w:val="none" w:sz="0" w:space="0" w:color="auto" w:frame="1"/>
          <w:lang w:val="en-US" w:eastAsia="fr-FR"/>
        </w:rPr>
        <w:t xml:space="preserve">, as describing </w:t>
      </w:r>
      <w:r w:rsidRPr="00CB6129">
        <w:rPr>
          <w:rFonts w:eastAsia="Times New Roman" w:cs="Times New Roman"/>
          <w:szCs w:val="24"/>
          <w:bdr w:val="none" w:sz="0" w:space="0" w:color="auto" w:frame="1"/>
          <w:lang w:val="en-US" w:eastAsia="fr-FR"/>
        </w:rPr>
        <w:t>the site prior to the prison</w:t>
      </w:r>
      <w:r w:rsidR="00F46489" w:rsidRPr="00CB6129">
        <w:rPr>
          <w:rFonts w:eastAsia="Times New Roman" w:cs="Times New Roman"/>
          <w:szCs w:val="24"/>
          <w:bdr w:val="none" w:sz="0" w:space="0" w:color="auto" w:frame="1"/>
          <w:lang w:val="en-US" w:eastAsia="fr-FR"/>
        </w:rPr>
        <w:t xml:space="preserve"> as a “minimum-performance arena” with only enough personnel “to keep the base going, to keep the lights on.”</w:t>
      </w:r>
      <w:r w:rsidR="00F46489" w:rsidRPr="00CB6129">
        <w:rPr>
          <w:rStyle w:val="Appelnotedebasdep"/>
          <w:rFonts w:eastAsia="Times New Roman" w:cs="Times New Roman"/>
          <w:szCs w:val="24"/>
          <w:bdr w:val="none" w:sz="0" w:space="0" w:color="auto" w:frame="1"/>
          <w:lang w:val="en-US" w:eastAsia="fr-FR"/>
        </w:rPr>
        <w:footnoteReference w:id="40"/>
      </w:r>
      <w:r w:rsidR="00F46489" w:rsidRPr="00CB6129">
        <w:rPr>
          <w:rFonts w:eastAsia="Times New Roman" w:cs="Times New Roman"/>
          <w:szCs w:val="24"/>
          <w:bdr w:val="none" w:sz="0" w:space="0" w:color="auto" w:frame="1"/>
          <w:lang w:val="en-US" w:eastAsia="fr-FR"/>
        </w:rPr>
        <w:t xml:space="preserve"> </w:t>
      </w:r>
    </w:p>
    <w:p w:rsidR="00F46489" w:rsidRPr="00CB6129" w:rsidRDefault="00F46489" w:rsidP="00207222">
      <w:pPr>
        <w:autoSpaceDE w:val="0"/>
        <w:autoSpaceDN w:val="0"/>
        <w:adjustRightInd w:val="0"/>
        <w:rPr>
          <w:lang w:val="en-US"/>
        </w:rPr>
      </w:pPr>
      <w:r w:rsidRPr="00CB6129">
        <w:rPr>
          <w:rFonts w:eastAsia="Times New Roman" w:cs="Times New Roman"/>
          <w:szCs w:val="24"/>
          <w:bdr w:val="none" w:sz="0" w:space="0" w:color="auto" w:frame="1"/>
          <w:lang w:val="en-US" w:eastAsia="fr-FR"/>
        </w:rPr>
        <w:tab/>
        <w:t>The Helms-Burton</w:t>
      </w:r>
      <w:r w:rsidR="0038452A" w:rsidRPr="00CB6129">
        <w:rPr>
          <w:rFonts w:eastAsia="Times New Roman" w:cs="Times New Roman"/>
          <w:szCs w:val="24"/>
          <w:bdr w:val="none" w:sz="0" w:space="0" w:color="auto" w:frame="1"/>
          <w:lang w:val="en-US" w:eastAsia="fr-FR"/>
        </w:rPr>
        <w:t xml:space="preserve"> Act of 1996 may also be </w:t>
      </w:r>
      <w:r w:rsidR="00AB7552" w:rsidRPr="00CB6129">
        <w:rPr>
          <w:rFonts w:eastAsia="Times New Roman" w:cs="Times New Roman"/>
          <w:szCs w:val="24"/>
          <w:bdr w:val="none" w:sz="0" w:space="0" w:color="auto" w:frame="1"/>
          <w:lang w:val="en-US" w:eastAsia="fr-FR"/>
        </w:rPr>
        <w:t xml:space="preserve">seen as </w:t>
      </w:r>
      <w:r w:rsidR="0038452A" w:rsidRPr="00CB6129">
        <w:rPr>
          <w:rFonts w:eastAsia="Times New Roman" w:cs="Times New Roman"/>
          <w:szCs w:val="24"/>
          <w:bdr w:val="none" w:sz="0" w:space="0" w:color="auto" w:frame="1"/>
          <w:lang w:val="en-US" w:eastAsia="fr-FR"/>
        </w:rPr>
        <w:t>confirming that the territory is no longer “</w:t>
      </w:r>
      <w:r w:rsidR="0038452A" w:rsidRPr="00CB6129">
        <w:rPr>
          <w:lang w:val="en-US"/>
        </w:rPr>
        <w:t xml:space="preserve">required for the purposes of coaling and naval stations.” In an effort to promote the transformation of Cuba into a democracy, the act made it U.S. policy </w:t>
      </w:r>
      <w:r w:rsidR="0038452A" w:rsidRPr="00CB6129">
        <w:rPr>
          <w:rFonts w:cs="Times New Roman"/>
          <w:szCs w:val="24"/>
          <w:lang w:val="en-US"/>
        </w:rPr>
        <w:t>“to be prepared to enter into negotiations with a democratically elected government in Cuba either to return the United States Naval Base at Guantanamo to Cuba or to renegotiate the present agreement under mutually agreeable terms.</w:t>
      </w:r>
      <w:r w:rsidR="0038452A" w:rsidRPr="00CB6129">
        <w:rPr>
          <w:lang w:val="en-US"/>
        </w:rPr>
        <w:t>”</w:t>
      </w:r>
      <w:r w:rsidR="0038452A" w:rsidRPr="00CB6129">
        <w:rPr>
          <w:rStyle w:val="Appelnotedebasdep"/>
          <w:lang w:val="en-US"/>
        </w:rPr>
        <w:footnoteReference w:id="41"/>
      </w:r>
      <w:r w:rsidR="0038452A" w:rsidRPr="00CB6129">
        <w:rPr>
          <w:lang w:val="en-US"/>
        </w:rPr>
        <w:t xml:space="preserve"> </w:t>
      </w:r>
      <w:r w:rsidR="004A169D" w:rsidRPr="00CB6129">
        <w:rPr>
          <w:lang w:val="en-US"/>
        </w:rPr>
        <w:t xml:space="preserve">The nature of the </w:t>
      </w:r>
      <w:r w:rsidR="00600751" w:rsidRPr="00CB6129">
        <w:rPr>
          <w:lang w:val="en-US"/>
        </w:rPr>
        <w:t xml:space="preserve">value </w:t>
      </w:r>
      <w:r w:rsidR="004A169D" w:rsidRPr="00CB6129">
        <w:rPr>
          <w:lang w:val="en-US"/>
        </w:rPr>
        <w:t>to the United States</w:t>
      </w:r>
      <w:r w:rsidR="0038452A" w:rsidRPr="00CB6129">
        <w:rPr>
          <w:lang w:val="en-US"/>
        </w:rPr>
        <w:t xml:space="preserve"> </w:t>
      </w:r>
      <w:r w:rsidR="004A169D" w:rsidRPr="00CB6129">
        <w:rPr>
          <w:lang w:val="en-US"/>
        </w:rPr>
        <w:t>of Guantanamo Bay was thus legally transformed</w:t>
      </w:r>
      <w:r w:rsidR="00600751" w:rsidRPr="00CB6129">
        <w:rPr>
          <w:lang w:val="en-US"/>
        </w:rPr>
        <w:t xml:space="preserve"> from one of a military character to one </w:t>
      </w:r>
      <w:r w:rsidR="00207222" w:rsidRPr="00CB6129">
        <w:rPr>
          <w:lang w:val="en-US"/>
        </w:rPr>
        <w:t xml:space="preserve">tied to U.S. policy promotion. </w:t>
      </w:r>
      <w:r w:rsidR="00600751" w:rsidRPr="00CB6129">
        <w:rPr>
          <w:lang w:val="en-US"/>
        </w:rPr>
        <w:t xml:space="preserve">Imposing this obligation on the United States without regard to </w:t>
      </w:r>
      <w:r w:rsidR="00A22A4A" w:rsidRPr="00CB6129">
        <w:rPr>
          <w:lang w:val="en-US"/>
        </w:rPr>
        <w:t xml:space="preserve">the military </w:t>
      </w:r>
      <w:r w:rsidR="00600751" w:rsidRPr="00CB6129">
        <w:rPr>
          <w:lang w:val="en-US"/>
        </w:rPr>
        <w:t xml:space="preserve">value of Guantanamo Bay </w:t>
      </w:r>
      <w:r w:rsidR="00207222" w:rsidRPr="00CB6129">
        <w:rPr>
          <w:lang w:val="en-US"/>
        </w:rPr>
        <w:t xml:space="preserve">signals that such value has been lost on a permanent basis, given that the need for any military facility may fluctuate over time in the </w:t>
      </w:r>
      <w:r w:rsidR="00600751" w:rsidRPr="00CB6129">
        <w:rPr>
          <w:lang w:val="en-US"/>
        </w:rPr>
        <w:t xml:space="preserve">international </w:t>
      </w:r>
      <w:r w:rsidR="00207222" w:rsidRPr="00CB6129">
        <w:rPr>
          <w:lang w:val="en-US"/>
        </w:rPr>
        <w:t>conte</w:t>
      </w:r>
      <w:r w:rsidR="00600751" w:rsidRPr="00CB6129">
        <w:rPr>
          <w:lang w:val="en-US"/>
        </w:rPr>
        <w:t>xt</w:t>
      </w:r>
      <w:r w:rsidR="00207222" w:rsidRPr="00CB6129">
        <w:rPr>
          <w:lang w:val="en-US"/>
        </w:rPr>
        <w:t xml:space="preserve"> of geopolitics, conflicts and peace</w:t>
      </w:r>
      <w:r w:rsidR="00A22A4A" w:rsidRPr="00CB6129">
        <w:rPr>
          <w:lang w:val="en-US"/>
        </w:rPr>
        <w:t xml:space="preserve">, and </w:t>
      </w:r>
      <w:r w:rsidR="00207222" w:rsidRPr="00CB6129">
        <w:rPr>
          <w:lang w:val="en-US"/>
        </w:rPr>
        <w:t xml:space="preserve">given that </w:t>
      </w:r>
      <w:r w:rsidR="00600751" w:rsidRPr="00CB6129">
        <w:rPr>
          <w:lang w:val="en-US"/>
        </w:rPr>
        <w:t xml:space="preserve">a state with a “democratically elected government” may at times be hostile </w:t>
      </w:r>
      <w:r w:rsidR="00207222" w:rsidRPr="00CB6129">
        <w:rPr>
          <w:lang w:val="en-US"/>
        </w:rPr>
        <w:t>to the United States.</w:t>
      </w:r>
    </w:p>
    <w:p w:rsidR="008A7E12" w:rsidRPr="00CB6129" w:rsidRDefault="008A7E12" w:rsidP="00207222">
      <w:pPr>
        <w:autoSpaceDE w:val="0"/>
        <w:autoSpaceDN w:val="0"/>
        <w:adjustRightInd w:val="0"/>
        <w:rPr>
          <w:lang w:val="en-US"/>
        </w:rPr>
      </w:pPr>
    </w:p>
    <w:p w:rsidR="00CF26C0" w:rsidRPr="00CB6129" w:rsidRDefault="00CF26C0" w:rsidP="00207222">
      <w:pPr>
        <w:autoSpaceDE w:val="0"/>
        <w:autoSpaceDN w:val="0"/>
        <w:adjustRightInd w:val="0"/>
        <w:rPr>
          <w:lang w:val="en-US"/>
        </w:rPr>
      </w:pPr>
    </w:p>
    <w:p w:rsidR="00250600" w:rsidRPr="00CB6129" w:rsidRDefault="00AB7552" w:rsidP="00250600">
      <w:pPr>
        <w:rPr>
          <w:lang w:val="en-US"/>
        </w:rPr>
      </w:pPr>
      <w:r w:rsidRPr="00CB6129">
        <w:rPr>
          <w:lang w:val="en-US"/>
        </w:rPr>
        <w:t xml:space="preserve">U.S. </w:t>
      </w:r>
      <w:r w:rsidR="00250600" w:rsidRPr="00CB6129">
        <w:rPr>
          <w:lang w:val="en-US"/>
        </w:rPr>
        <w:t>Legal Options: Terminating the Lease by Abandonment</w:t>
      </w:r>
    </w:p>
    <w:p w:rsidR="008A7E12" w:rsidRPr="00CB6129" w:rsidRDefault="008A7E12" w:rsidP="00207222">
      <w:pPr>
        <w:autoSpaceDE w:val="0"/>
        <w:autoSpaceDN w:val="0"/>
        <w:adjustRightInd w:val="0"/>
        <w:rPr>
          <w:lang w:val="en-US"/>
        </w:rPr>
      </w:pPr>
    </w:p>
    <w:p w:rsidR="00B01BA6" w:rsidRPr="00CB6129" w:rsidRDefault="00250600" w:rsidP="00207222">
      <w:pPr>
        <w:autoSpaceDE w:val="0"/>
        <w:autoSpaceDN w:val="0"/>
        <w:adjustRightInd w:val="0"/>
        <w:rPr>
          <w:rFonts w:cs="Times New Roman"/>
          <w:szCs w:val="24"/>
          <w:lang w:val="en-US"/>
        </w:rPr>
      </w:pPr>
      <w:r w:rsidRPr="00CB6129">
        <w:rPr>
          <w:lang w:val="en-US"/>
        </w:rPr>
        <w:tab/>
      </w:r>
      <w:r w:rsidR="00A40B08" w:rsidRPr="00CB6129">
        <w:rPr>
          <w:lang w:val="en-US"/>
        </w:rPr>
        <w:t>A decision to close the naval station at Guantanamo Bay would be a clear signal that the U</w:t>
      </w:r>
      <w:r w:rsidR="00AB7552" w:rsidRPr="00CB6129">
        <w:rPr>
          <w:lang w:val="en-US"/>
        </w:rPr>
        <w:t>nited States</w:t>
      </w:r>
      <w:r w:rsidR="00A40B08" w:rsidRPr="00CB6129">
        <w:rPr>
          <w:lang w:val="en-US"/>
        </w:rPr>
        <w:t xml:space="preserve"> no longer requires the territory. But </w:t>
      </w:r>
      <w:r w:rsidR="00B01BA6" w:rsidRPr="00CB6129">
        <w:rPr>
          <w:lang w:val="en-US"/>
        </w:rPr>
        <w:t xml:space="preserve">for the area to revert to Cuban control, </w:t>
      </w:r>
      <w:r w:rsidR="00A40B08" w:rsidRPr="00CB6129">
        <w:rPr>
          <w:lang w:val="en-US"/>
        </w:rPr>
        <w:t xml:space="preserve">it is not essential for the United States to formally close the </w:t>
      </w:r>
      <w:r w:rsidR="00AB7552" w:rsidRPr="00CB6129">
        <w:rPr>
          <w:lang w:val="en-US"/>
        </w:rPr>
        <w:t>facility</w:t>
      </w:r>
      <w:r w:rsidR="00441789" w:rsidRPr="00CB6129">
        <w:rPr>
          <w:lang w:val="en-US"/>
        </w:rPr>
        <w:t>, as a</w:t>
      </w:r>
      <w:r w:rsidRPr="00CB6129">
        <w:rPr>
          <w:lang w:val="en-US"/>
        </w:rPr>
        <w:t xml:space="preserve"> base </w:t>
      </w:r>
      <w:r w:rsidR="00424C89" w:rsidRPr="00CB6129">
        <w:rPr>
          <w:lang w:val="en-US"/>
        </w:rPr>
        <w:t xml:space="preserve">that is no longer </w:t>
      </w:r>
      <w:r w:rsidR="00AB7552" w:rsidRPr="00CB6129">
        <w:rPr>
          <w:lang w:val="en-US"/>
        </w:rPr>
        <w:t xml:space="preserve">needed </w:t>
      </w:r>
      <w:r w:rsidR="008A7E12" w:rsidRPr="00CB6129">
        <w:rPr>
          <w:lang w:val="en-US"/>
        </w:rPr>
        <w:t>may remain open indefinitely</w:t>
      </w:r>
      <w:r w:rsidR="00441789" w:rsidRPr="00CB6129">
        <w:rPr>
          <w:lang w:val="en-US"/>
        </w:rPr>
        <w:t xml:space="preserve">. This has been </w:t>
      </w:r>
      <w:r w:rsidR="00B01BA6" w:rsidRPr="00CB6129">
        <w:rPr>
          <w:lang w:val="en-US"/>
        </w:rPr>
        <w:t>illustrated</w:t>
      </w:r>
      <w:r w:rsidR="00757827" w:rsidRPr="00CB6129">
        <w:rPr>
          <w:lang w:val="en-US"/>
        </w:rPr>
        <w:t xml:space="preserve"> in recent years</w:t>
      </w:r>
      <w:r w:rsidR="00B01BA6" w:rsidRPr="00CB6129">
        <w:rPr>
          <w:lang w:val="en-US"/>
        </w:rPr>
        <w:t xml:space="preserve"> by the unsuccessful efforts of the Department of Defense to convince Congress to a</w:t>
      </w:r>
      <w:r w:rsidR="00441789" w:rsidRPr="00CB6129">
        <w:rPr>
          <w:lang w:val="en-US"/>
        </w:rPr>
        <w:t xml:space="preserve">uthorize the president to constitute a new commission for approving </w:t>
      </w:r>
      <w:r w:rsidR="00B01BA6" w:rsidRPr="00CB6129">
        <w:rPr>
          <w:lang w:val="en-US"/>
        </w:rPr>
        <w:t>a new</w:t>
      </w:r>
      <w:r w:rsidR="00757827" w:rsidRPr="00CB6129">
        <w:rPr>
          <w:lang w:val="en-US"/>
        </w:rPr>
        <w:t xml:space="preserve"> </w:t>
      </w:r>
      <w:r w:rsidR="00441789" w:rsidRPr="00CB6129">
        <w:rPr>
          <w:lang w:val="en-US"/>
        </w:rPr>
        <w:t xml:space="preserve">round </w:t>
      </w:r>
      <w:r w:rsidR="00B01BA6" w:rsidRPr="00CB6129">
        <w:rPr>
          <w:lang w:val="en-US"/>
        </w:rPr>
        <w:t xml:space="preserve">of domestic base </w:t>
      </w:r>
      <w:r w:rsidR="00B01BA6" w:rsidRPr="00CB6129">
        <w:rPr>
          <w:rFonts w:cs="Times New Roman"/>
          <w:szCs w:val="24"/>
          <w:lang w:val="en-US"/>
        </w:rPr>
        <w:t>closures:</w:t>
      </w:r>
    </w:p>
    <w:p w:rsidR="00B01BA6" w:rsidRPr="00CB6129" w:rsidRDefault="00B01BA6" w:rsidP="00207222">
      <w:pPr>
        <w:autoSpaceDE w:val="0"/>
        <w:autoSpaceDN w:val="0"/>
        <w:adjustRightInd w:val="0"/>
        <w:rPr>
          <w:rFonts w:cs="Times New Roman"/>
          <w:szCs w:val="24"/>
          <w:lang w:val="en-US"/>
        </w:rPr>
      </w:pPr>
    </w:p>
    <w:p w:rsidR="00B01BA6" w:rsidRPr="00CB6129" w:rsidRDefault="00B01BA6" w:rsidP="00207222">
      <w:pPr>
        <w:autoSpaceDE w:val="0"/>
        <w:autoSpaceDN w:val="0"/>
        <w:adjustRightInd w:val="0"/>
        <w:rPr>
          <w:rFonts w:cs="Times New Roman"/>
          <w:szCs w:val="24"/>
          <w:shd w:val="clear" w:color="auto" w:fill="FAFAFA"/>
          <w:lang w:val="en-US"/>
        </w:rPr>
      </w:pPr>
      <w:r w:rsidRPr="00CB6129">
        <w:rPr>
          <w:rFonts w:cs="Times New Roman"/>
          <w:szCs w:val="24"/>
          <w:lang w:val="en-US"/>
        </w:rPr>
        <w:tab/>
      </w:r>
      <w:r w:rsidRPr="00CB6129">
        <w:rPr>
          <w:rFonts w:cs="Times New Roman"/>
          <w:szCs w:val="24"/>
          <w:shd w:val="clear" w:color="auto" w:fill="FAFAFA"/>
          <w:lang w:val="en-US"/>
        </w:rPr>
        <w:t xml:space="preserve">Military leaders are eager to save money by shuttering some underused </w:t>
      </w:r>
    </w:p>
    <w:p w:rsidR="00B01BA6" w:rsidRPr="00CB6129" w:rsidRDefault="00B01BA6" w:rsidP="00207222">
      <w:pPr>
        <w:autoSpaceDE w:val="0"/>
        <w:autoSpaceDN w:val="0"/>
        <w:adjustRightInd w:val="0"/>
        <w:rPr>
          <w:rFonts w:cs="Times New Roman"/>
          <w:szCs w:val="24"/>
          <w:shd w:val="clear" w:color="auto" w:fill="FAFAFA"/>
          <w:lang w:val="en-US"/>
        </w:rPr>
      </w:pPr>
      <w:r w:rsidRPr="00CB6129">
        <w:rPr>
          <w:rFonts w:cs="Times New Roman"/>
          <w:szCs w:val="24"/>
          <w:shd w:val="clear" w:color="auto" w:fill="FAFAFA"/>
          <w:lang w:val="en-US"/>
        </w:rPr>
        <w:tab/>
      </w:r>
      <w:proofErr w:type="gramStart"/>
      <w:r w:rsidRPr="00CB6129">
        <w:rPr>
          <w:rFonts w:cs="Times New Roman"/>
          <w:szCs w:val="24"/>
          <w:shd w:val="clear" w:color="auto" w:fill="FAFAFA"/>
          <w:lang w:val="en-US"/>
        </w:rPr>
        <w:t>bases</w:t>
      </w:r>
      <w:proofErr w:type="gramEnd"/>
      <w:r w:rsidRPr="00CB6129">
        <w:rPr>
          <w:rFonts w:cs="Times New Roman"/>
          <w:szCs w:val="24"/>
          <w:shd w:val="clear" w:color="auto" w:fill="FAFAFA"/>
          <w:lang w:val="en-US"/>
        </w:rPr>
        <w:t xml:space="preserve">. But the move is extremely unpopular on Capitol Hill, where many </w:t>
      </w:r>
    </w:p>
    <w:p w:rsidR="00B01BA6" w:rsidRPr="00CB6129" w:rsidRDefault="00B01BA6" w:rsidP="00207222">
      <w:pPr>
        <w:autoSpaceDE w:val="0"/>
        <w:autoSpaceDN w:val="0"/>
        <w:adjustRightInd w:val="0"/>
        <w:rPr>
          <w:rFonts w:cs="Times New Roman"/>
          <w:szCs w:val="24"/>
          <w:shd w:val="clear" w:color="auto" w:fill="FAFAFA"/>
          <w:lang w:val="en-US"/>
        </w:rPr>
      </w:pPr>
      <w:r w:rsidRPr="00CB6129">
        <w:rPr>
          <w:rFonts w:cs="Times New Roman"/>
          <w:szCs w:val="24"/>
          <w:shd w:val="clear" w:color="auto" w:fill="FAFAFA"/>
          <w:lang w:val="en-US"/>
        </w:rPr>
        <w:tab/>
      </w:r>
      <w:proofErr w:type="gramStart"/>
      <w:r w:rsidRPr="00CB6129">
        <w:rPr>
          <w:rFonts w:cs="Times New Roman"/>
          <w:szCs w:val="24"/>
          <w:shd w:val="clear" w:color="auto" w:fill="FAFAFA"/>
          <w:lang w:val="en-US"/>
        </w:rPr>
        <w:t>lawmakers</w:t>
      </w:r>
      <w:proofErr w:type="gramEnd"/>
      <w:r w:rsidRPr="00CB6129">
        <w:rPr>
          <w:rFonts w:cs="Times New Roman"/>
          <w:szCs w:val="24"/>
          <w:shd w:val="clear" w:color="auto" w:fill="FAFAFA"/>
          <w:lang w:val="en-US"/>
        </w:rPr>
        <w:t xml:space="preserve"> fear the process would jeopardize government jobs in their </w:t>
      </w:r>
    </w:p>
    <w:p w:rsidR="00B01BA6" w:rsidRPr="00CB6129" w:rsidRDefault="00B01BA6" w:rsidP="00207222">
      <w:pPr>
        <w:autoSpaceDE w:val="0"/>
        <w:autoSpaceDN w:val="0"/>
        <w:adjustRightInd w:val="0"/>
        <w:rPr>
          <w:highlight w:val="yellow"/>
          <w:lang w:val="en-US"/>
        </w:rPr>
      </w:pPr>
      <w:r w:rsidRPr="00CB6129">
        <w:rPr>
          <w:rFonts w:cs="Times New Roman"/>
          <w:szCs w:val="24"/>
          <w:shd w:val="clear" w:color="auto" w:fill="FAFAFA"/>
          <w:lang w:val="en-US"/>
        </w:rPr>
        <w:tab/>
      </w:r>
      <w:proofErr w:type="gramStart"/>
      <w:r w:rsidRPr="00CB6129">
        <w:rPr>
          <w:rFonts w:cs="Times New Roman"/>
          <w:szCs w:val="24"/>
          <w:shd w:val="clear" w:color="auto" w:fill="FAFAFA"/>
          <w:lang w:val="en-US"/>
        </w:rPr>
        <w:t>districts</w:t>
      </w:r>
      <w:proofErr w:type="gramEnd"/>
      <w:r w:rsidRPr="00CB6129">
        <w:rPr>
          <w:rFonts w:cs="Times New Roman"/>
          <w:szCs w:val="24"/>
          <w:shd w:val="clear" w:color="auto" w:fill="FAFAFA"/>
          <w:lang w:val="en-US"/>
        </w:rPr>
        <w:t>.</w:t>
      </w:r>
      <w:r w:rsidRPr="00CB6129">
        <w:rPr>
          <w:rStyle w:val="Appelnotedebasdep"/>
          <w:rFonts w:cs="Times New Roman"/>
          <w:szCs w:val="24"/>
          <w:shd w:val="clear" w:color="auto" w:fill="FAFAFA"/>
          <w:lang w:val="en-US"/>
        </w:rPr>
        <w:footnoteReference w:id="42"/>
      </w:r>
    </w:p>
    <w:p w:rsidR="00B01BA6" w:rsidRPr="00CB6129" w:rsidRDefault="00B01BA6" w:rsidP="00207222">
      <w:pPr>
        <w:autoSpaceDE w:val="0"/>
        <w:autoSpaceDN w:val="0"/>
        <w:adjustRightInd w:val="0"/>
        <w:rPr>
          <w:highlight w:val="yellow"/>
          <w:lang w:val="en-US"/>
        </w:rPr>
      </w:pPr>
    </w:p>
    <w:p w:rsidR="00441789" w:rsidRPr="00CB6129" w:rsidRDefault="00250600" w:rsidP="00250600">
      <w:pPr>
        <w:autoSpaceDE w:val="0"/>
        <w:autoSpaceDN w:val="0"/>
        <w:adjustRightInd w:val="0"/>
        <w:rPr>
          <w:lang w:val="en-US"/>
        </w:rPr>
      </w:pPr>
      <w:r w:rsidRPr="00CB6129">
        <w:rPr>
          <w:lang w:val="en-US"/>
        </w:rPr>
        <w:tab/>
      </w:r>
      <w:r w:rsidR="00AB7552" w:rsidRPr="00CB6129">
        <w:rPr>
          <w:lang w:val="en-US"/>
        </w:rPr>
        <w:t>What is relevant here is that a</w:t>
      </w:r>
      <w:r w:rsidRPr="00CB6129">
        <w:rPr>
          <w:lang w:val="en-US"/>
        </w:rPr>
        <w:t xml:space="preserve"> base</w:t>
      </w:r>
      <w:r w:rsidR="00AB7552" w:rsidRPr="00CB6129">
        <w:rPr>
          <w:lang w:val="en-US"/>
        </w:rPr>
        <w:t xml:space="preserve"> which </w:t>
      </w:r>
      <w:r w:rsidR="00441789" w:rsidRPr="00CB6129">
        <w:rPr>
          <w:lang w:val="en-US"/>
        </w:rPr>
        <w:t xml:space="preserve">is not closed legally or administratively but that has </w:t>
      </w:r>
      <w:r w:rsidRPr="00CB6129">
        <w:rPr>
          <w:lang w:val="en-US"/>
        </w:rPr>
        <w:t xml:space="preserve">lost its usefulness may be subject to </w:t>
      </w:r>
      <w:r w:rsidR="00441789" w:rsidRPr="00CB6129">
        <w:rPr>
          <w:lang w:val="en-US"/>
        </w:rPr>
        <w:t xml:space="preserve">physical </w:t>
      </w:r>
      <w:r w:rsidRPr="00CB6129">
        <w:rPr>
          <w:lang w:val="en-US"/>
        </w:rPr>
        <w:t>abandonment</w:t>
      </w:r>
      <w:r w:rsidR="00AB7552" w:rsidRPr="00CB6129">
        <w:rPr>
          <w:lang w:val="en-US"/>
        </w:rPr>
        <w:t>, and t</w:t>
      </w:r>
      <w:r w:rsidR="00207222" w:rsidRPr="00CB6129">
        <w:rPr>
          <w:lang w:val="en-US"/>
        </w:rPr>
        <w:t xml:space="preserve">he 1934 </w:t>
      </w:r>
      <w:r w:rsidR="00A22A4A" w:rsidRPr="00CB6129">
        <w:rPr>
          <w:lang w:val="en-US"/>
        </w:rPr>
        <w:t xml:space="preserve">Treaty of Relations </w:t>
      </w:r>
      <w:r w:rsidR="00207222" w:rsidRPr="00CB6129">
        <w:rPr>
          <w:lang w:val="en-US"/>
        </w:rPr>
        <w:t xml:space="preserve">opens the possibility for the United States to </w:t>
      </w:r>
      <w:r w:rsidRPr="00CB6129">
        <w:rPr>
          <w:lang w:val="en-US"/>
        </w:rPr>
        <w:t xml:space="preserve">trigger the </w:t>
      </w:r>
      <w:r w:rsidR="00207222" w:rsidRPr="00CB6129">
        <w:rPr>
          <w:lang w:val="en-US"/>
        </w:rPr>
        <w:t>terminat</w:t>
      </w:r>
      <w:r w:rsidRPr="00CB6129">
        <w:rPr>
          <w:lang w:val="en-US"/>
        </w:rPr>
        <w:t xml:space="preserve">ion of the </w:t>
      </w:r>
      <w:r w:rsidR="00207222" w:rsidRPr="00CB6129">
        <w:rPr>
          <w:lang w:val="en-US"/>
        </w:rPr>
        <w:t xml:space="preserve">Guantanamo Bay </w:t>
      </w:r>
      <w:r w:rsidRPr="00CB6129">
        <w:rPr>
          <w:lang w:val="en-US"/>
        </w:rPr>
        <w:t>lease this way</w:t>
      </w:r>
      <w:r w:rsidR="00207222" w:rsidRPr="00CB6129">
        <w:rPr>
          <w:lang w:val="en-US"/>
        </w:rPr>
        <w:t xml:space="preserve"> – </w:t>
      </w:r>
      <w:r w:rsidR="00441789" w:rsidRPr="00CB6129">
        <w:rPr>
          <w:lang w:val="en-US"/>
        </w:rPr>
        <w:t>b</w:t>
      </w:r>
      <w:r w:rsidR="00424C89" w:rsidRPr="00CB6129">
        <w:rPr>
          <w:lang w:val="en-US"/>
        </w:rPr>
        <w:t xml:space="preserve">y </w:t>
      </w:r>
      <w:r w:rsidR="00207222" w:rsidRPr="00CB6129">
        <w:rPr>
          <w:lang w:val="en-US"/>
        </w:rPr>
        <w:t xml:space="preserve">taking actions that </w:t>
      </w:r>
      <w:r w:rsidR="00665829" w:rsidRPr="00CB6129">
        <w:rPr>
          <w:lang w:val="en-US"/>
        </w:rPr>
        <w:t xml:space="preserve">would constitute </w:t>
      </w:r>
      <w:r w:rsidR="00207222" w:rsidRPr="00CB6129">
        <w:rPr>
          <w:lang w:val="en-US"/>
        </w:rPr>
        <w:t xml:space="preserve">“abandonment” </w:t>
      </w:r>
      <w:r w:rsidR="008A7E12" w:rsidRPr="00CB6129">
        <w:rPr>
          <w:lang w:val="en-US"/>
        </w:rPr>
        <w:t xml:space="preserve">under </w:t>
      </w:r>
      <w:r w:rsidR="00665829" w:rsidRPr="00CB6129">
        <w:rPr>
          <w:lang w:val="en-US"/>
        </w:rPr>
        <w:t xml:space="preserve">analogous </w:t>
      </w:r>
      <w:r w:rsidR="008A7E12" w:rsidRPr="00CB6129">
        <w:rPr>
          <w:lang w:val="en-US"/>
        </w:rPr>
        <w:t>U.S.</w:t>
      </w:r>
      <w:r w:rsidR="00665829" w:rsidRPr="00CB6129">
        <w:rPr>
          <w:lang w:val="en-US"/>
        </w:rPr>
        <w:t xml:space="preserve"> (</w:t>
      </w:r>
      <w:r w:rsidR="00424C89" w:rsidRPr="00CB6129">
        <w:rPr>
          <w:lang w:val="en-US"/>
        </w:rPr>
        <w:t xml:space="preserve">or </w:t>
      </w:r>
      <w:r w:rsidR="00665829" w:rsidRPr="00CB6129">
        <w:rPr>
          <w:lang w:val="en-US"/>
        </w:rPr>
        <w:t xml:space="preserve">international or even </w:t>
      </w:r>
      <w:r w:rsidR="008A7E12" w:rsidRPr="00CB6129">
        <w:rPr>
          <w:lang w:val="en-US"/>
        </w:rPr>
        <w:t>Cuban) law</w:t>
      </w:r>
      <w:r w:rsidR="00665829" w:rsidRPr="00CB6129">
        <w:rPr>
          <w:lang w:val="en-US"/>
        </w:rPr>
        <w:t>.</w:t>
      </w:r>
      <w:r w:rsidR="00665829" w:rsidRPr="00CB6129">
        <w:rPr>
          <w:rStyle w:val="Appelnotedebasdep"/>
          <w:lang w:val="en-US"/>
        </w:rPr>
        <w:footnoteReference w:id="43"/>
      </w:r>
      <w:r w:rsidR="00665829" w:rsidRPr="00CB6129">
        <w:rPr>
          <w:lang w:val="en-US"/>
        </w:rPr>
        <w:t xml:space="preserve"> </w:t>
      </w:r>
    </w:p>
    <w:p w:rsidR="00841849" w:rsidRPr="00CB6129" w:rsidRDefault="00441789" w:rsidP="00250600">
      <w:pPr>
        <w:autoSpaceDE w:val="0"/>
        <w:autoSpaceDN w:val="0"/>
        <w:adjustRightInd w:val="0"/>
        <w:rPr>
          <w:lang w:val="en-US"/>
        </w:rPr>
      </w:pPr>
      <w:r w:rsidRPr="00CB6129">
        <w:rPr>
          <w:lang w:val="en-US"/>
        </w:rPr>
        <w:tab/>
      </w:r>
      <w:r w:rsidR="00250600" w:rsidRPr="00CB6129">
        <w:rPr>
          <w:lang w:val="en-US"/>
        </w:rPr>
        <w:t xml:space="preserve">While the concept of abandonment </w:t>
      </w:r>
      <w:r w:rsidR="00424C89" w:rsidRPr="00CB6129">
        <w:rPr>
          <w:lang w:val="en-US"/>
        </w:rPr>
        <w:t xml:space="preserve">can </w:t>
      </w:r>
      <w:r w:rsidR="00250600" w:rsidRPr="00CB6129">
        <w:rPr>
          <w:lang w:val="en-US"/>
        </w:rPr>
        <w:t>entai</w:t>
      </w:r>
      <w:r w:rsidR="00424C89" w:rsidRPr="00CB6129">
        <w:rPr>
          <w:lang w:val="en-US"/>
        </w:rPr>
        <w:t>l</w:t>
      </w:r>
      <w:r w:rsidR="00250600" w:rsidRPr="00CB6129">
        <w:rPr>
          <w:lang w:val="en-US"/>
        </w:rPr>
        <w:t xml:space="preserve"> a time factor, this factor may not necessarily be in the past. </w:t>
      </w:r>
      <w:r w:rsidR="00665829" w:rsidRPr="00CB6129">
        <w:rPr>
          <w:lang w:val="en-US"/>
        </w:rPr>
        <w:t>Physically e</w:t>
      </w:r>
      <w:r w:rsidR="00424C89" w:rsidRPr="00CB6129">
        <w:rPr>
          <w:lang w:val="en-US"/>
        </w:rPr>
        <w:t xml:space="preserve">vacuating </w:t>
      </w:r>
      <w:r w:rsidR="00A22A4A" w:rsidRPr="00CB6129">
        <w:rPr>
          <w:lang w:val="en-US"/>
        </w:rPr>
        <w:t xml:space="preserve">military personnel from </w:t>
      </w:r>
      <w:r w:rsidR="00424C89" w:rsidRPr="00CB6129">
        <w:rPr>
          <w:lang w:val="en-US"/>
        </w:rPr>
        <w:t xml:space="preserve">a site with the intent that it be a </w:t>
      </w:r>
      <w:r w:rsidR="00757827" w:rsidRPr="00CB6129">
        <w:rPr>
          <w:lang w:val="en-US"/>
        </w:rPr>
        <w:t>permanent</w:t>
      </w:r>
      <w:r w:rsidR="00424C89" w:rsidRPr="00CB6129">
        <w:rPr>
          <w:lang w:val="en-US"/>
        </w:rPr>
        <w:t xml:space="preserve"> situation</w:t>
      </w:r>
      <w:r w:rsidR="00665829" w:rsidRPr="00CB6129">
        <w:rPr>
          <w:lang w:val="en-US"/>
        </w:rPr>
        <w:t xml:space="preserve">, particularly when combined with </w:t>
      </w:r>
      <w:r w:rsidR="00424C89" w:rsidRPr="00CB6129">
        <w:rPr>
          <w:lang w:val="en-US"/>
        </w:rPr>
        <w:t xml:space="preserve">halting </w:t>
      </w:r>
      <w:r w:rsidR="008A7E12" w:rsidRPr="00CB6129">
        <w:rPr>
          <w:lang w:val="en-US"/>
        </w:rPr>
        <w:t>further attention to maintaining its facilities</w:t>
      </w:r>
      <w:r w:rsidR="007B5A7E" w:rsidRPr="00CB6129">
        <w:rPr>
          <w:lang w:val="en-US"/>
        </w:rPr>
        <w:t>,</w:t>
      </w:r>
      <w:r w:rsidR="00757827" w:rsidRPr="00CB6129">
        <w:rPr>
          <w:lang w:val="en-US"/>
        </w:rPr>
        <w:t xml:space="preserve"> </w:t>
      </w:r>
      <w:r w:rsidR="00841849" w:rsidRPr="00CB6129">
        <w:rPr>
          <w:lang w:val="en-US"/>
        </w:rPr>
        <w:t xml:space="preserve">or </w:t>
      </w:r>
      <w:r w:rsidR="007B5A7E" w:rsidRPr="00CB6129">
        <w:rPr>
          <w:lang w:val="en-US"/>
        </w:rPr>
        <w:t xml:space="preserve">an official </w:t>
      </w:r>
      <w:r w:rsidR="00757827" w:rsidRPr="00CB6129">
        <w:rPr>
          <w:lang w:val="en-US"/>
        </w:rPr>
        <w:t xml:space="preserve">statement </w:t>
      </w:r>
      <w:r w:rsidR="007B5A7E" w:rsidRPr="00CB6129">
        <w:rPr>
          <w:lang w:val="en-US"/>
        </w:rPr>
        <w:t xml:space="preserve">to </w:t>
      </w:r>
      <w:r w:rsidR="00757827" w:rsidRPr="00CB6129">
        <w:rPr>
          <w:lang w:val="en-US"/>
        </w:rPr>
        <w:t>acknowledg</w:t>
      </w:r>
      <w:r w:rsidR="007B5A7E" w:rsidRPr="00CB6129">
        <w:rPr>
          <w:lang w:val="en-US"/>
        </w:rPr>
        <w:t>e</w:t>
      </w:r>
      <w:r w:rsidR="00757827" w:rsidRPr="00CB6129">
        <w:rPr>
          <w:lang w:val="en-US"/>
        </w:rPr>
        <w:t xml:space="preserve"> th</w:t>
      </w:r>
      <w:r w:rsidR="00665829" w:rsidRPr="00CB6129">
        <w:rPr>
          <w:lang w:val="en-US"/>
        </w:rPr>
        <w:t>at the site is being abandoned</w:t>
      </w:r>
      <w:r w:rsidR="007B5A7E" w:rsidRPr="00CB6129">
        <w:rPr>
          <w:lang w:val="en-US"/>
        </w:rPr>
        <w:t>,</w:t>
      </w:r>
      <w:r w:rsidR="00424C89" w:rsidRPr="00CB6129">
        <w:rPr>
          <w:lang w:val="en-US"/>
        </w:rPr>
        <w:t xml:space="preserve"> </w:t>
      </w:r>
      <w:r w:rsidR="00250600" w:rsidRPr="00CB6129">
        <w:rPr>
          <w:lang w:val="en-US"/>
        </w:rPr>
        <w:t xml:space="preserve">may be </w:t>
      </w:r>
      <w:r w:rsidR="00841849" w:rsidRPr="00CB6129">
        <w:rPr>
          <w:lang w:val="en-US"/>
        </w:rPr>
        <w:t xml:space="preserve">deemed </w:t>
      </w:r>
      <w:r w:rsidR="007B5A7E" w:rsidRPr="00CB6129">
        <w:rPr>
          <w:lang w:val="en-US"/>
        </w:rPr>
        <w:t xml:space="preserve">legally </w:t>
      </w:r>
      <w:r w:rsidR="00250600" w:rsidRPr="00CB6129">
        <w:rPr>
          <w:lang w:val="en-US"/>
        </w:rPr>
        <w:t>sufficient in this regard.</w:t>
      </w:r>
      <w:r w:rsidR="00841849" w:rsidRPr="00CB6129">
        <w:rPr>
          <w:lang w:val="en-US"/>
        </w:rPr>
        <w:t xml:space="preserve"> Control over Bah</w:t>
      </w:r>
      <w:r w:rsidR="00841849" w:rsidRPr="00CB6129">
        <w:rPr>
          <w:rFonts w:cs="Times New Roman"/>
          <w:lang w:val="en-US"/>
        </w:rPr>
        <w:t>í</w:t>
      </w:r>
      <w:r w:rsidR="00841849" w:rsidRPr="00CB6129">
        <w:rPr>
          <w:lang w:val="en-US"/>
        </w:rPr>
        <w:t xml:space="preserve">a Honda, the smaller second territory that was included in the 1903 lease but never used by the United States, reverted to Cuba </w:t>
      </w:r>
      <w:r w:rsidR="00AB3128" w:rsidRPr="00CB6129">
        <w:rPr>
          <w:lang w:val="en-US"/>
        </w:rPr>
        <w:t xml:space="preserve">by </w:t>
      </w:r>
      <w:r w:rsidR="00841849" w:rsidRPr="00CB6129">
        <w:rPr>
          <w:lang w:val="en-US"/>
        </w:rPr>
        <w:t xml:space="preserve">1916 </w:t>
      </w:r>
      <w:r w:rsidR="00AB3128" w:rsidRPr="00CB6129">
        <w:rPr>
          <w:lang w:val="en-US"/>
        </w:rPr>
        <w:t xml:space="preserve">because </w:t>
      </w:r>
      <w:r w:rsidR="00841849" w:rsidRPr="00CB6129">
        <w:rPr>
          <w:lang w:val="en-US"/>
        </w:rPr>
        <w:t>“the United States abandoned the naval station at Bah</w:t>
      </w:r>
      <w:r w:rsidR="00841849" w:rsidRPr="00CB6129">
        <w:rPr>
          <w:rFonts w:cs="Times New Roman"/>
          <w:lang w:val="en-US"/>
        </w:rPr>
        <w:t>í</w:t>
      </w:r>
      <w:r w:rsidR="00841849" w:rsidRPr="00CB6129">
        <w:rPr>
          <w:lang w:val="en-US"/>
        </w:rPr>
        <w:t>a Honda</w:t>
      </w:r>
      <w:r w:rsidR="00AB3128" w:rsidRPr="00CB6129">
        <w:rPr>
          <w:lang w:val="en-US"/>
        </w:rPr>
        <w:t>.</w:t>
      </w:r>
      <w:r w:rsidR="00841849" w:rsidRPr="00CB6129">
        <w:rPr>
          <w:lang w:val="en-US"/>
        </w:rPr>
        <w:t>”</w:t>
      </w:r>
      <w:r w:rsidR="00841849" w:rsidRPr="00CB6129">
        <w:rPr>
          <w:rStyle w:val="Appelnotedebasdep"/>
          <w:lang w:val="en-US"/>
        </w:rPr>
        <w:footnoteReference w:id="44"/>
      </w:r>
    </w:p>
    <w:p w:rsidR="00744638" w:rsidRPr="00CB6129" w:rsidRDefault="00424C89" w:rsidP="00744638">
      <w:pPr>
        <w:autoSpaceDE w:val="0"/>
        <w:autoSpaceDN w:val="0"/>
        <w:adjustRightInd w:val="0"/>
        <w:rPr>
          <w:lang w:val="en-US"/>
        </w:rPr>
      </w:pPr>
      <w:r w:rsidRPr="00CB6129">
        <w:rPr>
          <w:lang w:val="en-US"/>
        </w:rPr>
        <w:tab/>
        <w:t xml:space="preserve">Like the other options above, a decision to </w:t>
      </w:r>
      <w:r w:rsidR="00A22A4A" w:rsidRPr="00CB6129">
        <w:rPr>
          <w:lang w:val="en-US"/>
        </w:rPr>
        <w:t xml:space="preserve">withdraw troops from </w:t>
      </w:r>
      <w:r w:rsidRPr="00CB6129">
        <w:rPr>
          <w:lang w:val="en-US"/>
        </w:rPr>
        <w:t xml:space="preserve">a military base is one that the executive branch has the authority to </w:t>
      </w:r>
      <w:r w:rsidR="00AB3128" w:rsidRPr="00CB6129">
        <w:rPr>
          <w:lang w:val="en-US"/>
        </w:rPr>
        <w:t>m</w:t>
      </w:r>
      <w:r w:rsidRPr="00CB6129">
        <w:rPr>
          <w:lang w:val="en-US"/>
        </w:rPr>
        <w:t>ake without consulting Congress</w:t>
      </w:r>
      <w:r w:rsidR="00AB3128" w:rsidRPr="00CB6129">
        <w:rPr>
          <w:lang w:val="en-US"/>
        </w:rPr>
        <w:t>,</w:t>
      </w:r>
      <w:r w:rsidR="00744638" w:rsidRPr="00CB6129">
        <w:rPr>
          <w:lang w:val="en-US"/>
        </w:rPr>
        <w:t xml:space="preserve"> as is the case with any decision regarding a base’s </w:t>
      </w:r>
      <w:r w:rsidR="00441789" w:rsidRPr="00CB6129">
        <w:rPr>
          <w:lang w:val="en-US"/>
        </w:rPr>
        <w:t xml:space="preserve">personnel </w:t>
      </w:r>
      <w:r w:rsidR="00744638" w:rsidRPr="00CB6129">
        <w:rPr>
          <w:lang w:val="en-US"/>
        </w:rPr>
        <w:t xml:space="preserve">and activities. There is also </w:t>
      </w:r>
      <w:r w:rsidR="00AB3128" w:rsidRPr="00CB6129">
        <w:rPr>
          <w:lang w:val="en-US"/>
        </w:rPr>
        <w:t xml:space="preserve">no legally mandated procedure that stipulates how a base may be abandoned or at what level </w:t>
      </w:r>
      <w:r w:rsidR="00744638" w:rsidRPr="00CB6129">
        <w:rPr>
          <w:lang w:val="en-US"/>
        </w:rPr>
        <w:t xml:space="preserve">within the executive branch </w:t>
      </w:r>
      <w:r w:rsidR="00AB3128" w:rsidRPr="00CB6129">
        <w:rPr>
          <w:lang w:val="en-US"/>
        </w:rPr>
        <w:t xml:space="preserve">the decision may be made. This reflects the reality of the military’s combat function, as a base may </w:t>
      </w:r>
      <w:r w:rsidR="00744638" w:rsidRPr="00CB6129">
        <w:rPr>
          <w:lang w:val="en-US"/>
        </w:rPr>
        <w:t>b</w:t>
      </w:r>
      <w:r w:rsidR="00AB3128" w:rsidRPr="00CB6129">
        <w:rPr>
          <w:lang w:val="en-US"/>
        </w:rPr>
        <w:t xml:space="preserve">e abandoned due to the dynamics of </w:t>
      </w:r>
      <w:r w:rsidR="00CF26C0" w:rsidRPr="00CB6129">
        <w:rPr>
          <w:lang w:val="en-US"/>
        </w:rPr>
        <w:t>a</w:t>
      </w:r>
      <w:r w:rsidR="00AB3128" w:rsidRPr="00CB6129">
        <w:rPr>
          <w:lang w:val="en-US"/>
        </w:rPr>
        <w:t xml:space="preserve"> conflict</w:t>
      </w:r>
      <w:r w:rsidR="00744638" w:rsidRPr="00CB6129">
        <w:rPr>
          <w:lang w:val="en-US"/>
        </w:rPr>
        <w:t>, and the decision to do so may rest with the military officers in charge</w:t>
      </w:r>
      <w:r w:rsidR="00AB3128" w:rsidRPr="00CB6129">
        <w:rPr>
          <w:lang w:val="en-US"/>
        </w:rPr>
        <w:t>.</w:t>
      </w:r>
      <w:r w:rsidR="00591A26" w:rsidRPr="00CB6129">
        <w:rPr>
          <w:lang w:val="en-US"/>
        </w:rPr>
        <w:t xml:space="preserve"> This occurred, for example, when the U.S. Marines evacuated the base at </w:t>
      </w:r>
      <w:proofErr w:type="spellStart"/>
      <w:r w:rsidR="00591A26" w:rsidRPr="00CB6129">
        <w:rPr>
          <w:lang w:val="en-US"/>
        </w:rPr>
        <w:t>Khe</w:t>
      </w:r>
      <w:proofErr w:type="spellEnd"/>
      <w:r w:rsidR="00591A26" w:rsidRPr="00CB6129">
        <w:rPr>
          <w:lang w:val="en-US"/>
        </w:rPr>
        <w:t xml:space="preserve"> </w:t>
      </w:r>
      <w:proofErr w:type="spellStart"/>
      <w:r w:rsidR="00591A26" w:rsidRPr="00CB6129">
        <w:rPr>
          <w:lang w:val="en-US"/>
        </w:rPr>
        <w:t>Sanh</w:t>
      </w:r>
      <w:proofErr w:type="spellEnd"/>
      <w:r w:rsidR="00591A26" w:rsidRPr="00CB6129">
        <w:rPr>
          <w:lang w:val="en-US"/>
        </w:rPr>
        <w:t xml:space="preserve">, South Vietnam, during the Vietnam War: </w:t>
      </w:r>
    </w:p>
    <w:p w:rsidR="00744638" w:rsidRPr="00CB6129" w:rsidRDefault="00744638" w:rsidP="00744638">
      <w:pPr>
        <w:autoSpaceDE w:val="0"/>
        <w:autoSpaceDN w:val="0"/>
        <w:adjustRightInd w:val="0"/>
        <w:rPr>
          <w:lang w:val="en-US"/>
        </w:rPr>
      </w:pPr>
    </w:p>
    <w:p w:rsidR="00591A26" w:rsidRPr="00CB6129" w:rsidRDefault="00744638" w:rsidP="00744638">
      <w:pPr>
        <w:autoSpaceDE w:val="0"/>
        <w:autoSpaceDN w:val="0"/>
        <w:adjustRightInd w:val="0"/>
        <w:rPr>
          <w:lang w:val="en-US"/>
        </w:rPr>
      </w:pPr>
      <w:r w:rsidRPr="00CB6129">
        <w:rPr>
          <w:lang w:val="en-US"/>
        </w:rPr>
        <w:tab/>
        <w:t>(A</w:t>
      </w:r>
      <w:proofErr w:type="gramStart"/>
      <w:r w:rsidRPr="00CB6129">
        <w:rPr>
          <w:lang w:val="en-US"/>
        </w:rPr>
        <w:t>)</w:t>
      </w:r>
      <w:proofErr w:type="spellStart"/>
      <w:r w:rsidRPr="00CB6129">
        <w:rPr>
          <w:lang w:val="en-US"/>
        </w:rPr>
        <w:t>fter</w:t>
      </w:r>
      <w:proofErr w:type="spellEnd"/>
      <w:proofErr w:type="gramEnd"/>
      <w:r w:rsidRPr="00CB6129">
        <w:rPr>
          <w:lang w:val="en-US"/>
        </w:rPr>
        <w:t xml:space="preserve"> the United States declared victory at </w:t>
      </w:r>
      <w:proofErr w:type="spellStart"/>
      <w:r w:rsidRPr="00CB6129">
        <w:rPr>
          <w:lang w:val="en-US"/>
        </w:rPr>
        <w:t>Khe</w:t>
      </w:r>
      <w:proofErr w:type="spellEnd"/>
      <w:r w:rsidRPr="00CB6129">
        <w:rPr>
          <w:lang w:val="en-US"/>
        </w:rPr>
        <w:t xml:space="preserve"> </w:t>
      </w:r>
      <w:proofErr w:type="spellStart"/>
      <w:r w:rsidRPr="00CB6129">
        <w:rPr>
          <w:lang w:val="en-US"/>
        </w:rPr>
        <w:t>Sanh</w:t>
      </w:r>
      <w:proofErr w:type="spellEnd"/>
      <w:r w:rsidRPr="00CB6129">
        <w:rPr>
          <w:lang w:val="en-US"/>
        </w:rPr>
        <w:t xml:space="preserve">, American </w:t>
      </w:r>
      <w:r w:rsidR="00591A26" w:rsidRPr="00CB6129">
        <w:rPr>
          <w:lang w:val="en-US"/>
        </w:rPr>
        <w:tab/>
      </w:r>
    </w:p>
    <w:p w:rsidR="00591A26" w:rsidRPr="00CB6129" w:rsidRDefault="00591A26" w:rsidP="00744638">
      <w:pPr>
        <w:autoSpaceDE w:val="0"/>
        <w:autoSpaceDN w:val="0"/>
        <w:adjustRightInd w:val="0"/>
        <w:rPr>
          <w:lang w:val="en-US"/>
        </w:rPr>
      </w:pPr>
      <w:r w:rsidRPr="00CB6129">
        <w:rPr>
          <w:lang w:val="en-US"/>
        </w:rPr>
        <w:tab/>
      </w:r>
      <w:proofErr w:type="gramStart"/>
      <w:r w:rsidR="00744638" w:rsidRPr="00CB6129">
        <w:rPr>
          <w:lang w:val="en-US"/>
        </w:rPr>
        <w:t>commanders</w:t>
      </w:r>
      <w:proofErr w:type="gramEnd"/>
      <w:r w:rsidR="00744638" w:rsidRPr="00CB6129">
        <w:rPr>
          <w:lang w:val="en-US"/>
        </w:rPr>
        <w:t xml:space="preserve"> decided to abandon the Marine base there. This made sense in </w:t>
      </w:r>
    </w:p>
    <w:p w:rsidR="00591A26" w:rsidRPr="00CB6129" w:rsidRDefault="00591A26" w:rsidP="00744638">
      <w:pPr>
        <w:autoSpaceDE w:val="0"/>
        <w:autoSpaceDN w:val="0"/>
        <w:adjustRightInd w:val="0"/>
        <w:rPr>
          <w:lang w:val="en-US"/>
        </w:rPr>
      </w:pPr>
      <w:r w:rsidRPr="00CB6129">
        <w:rPr>
          <w:lang w:val="en-US"/>
        </w:rPr>
        <w:tab/>
      </w:r>
      <w:proofErr w:type="gramStart"/>
      <w:r w:rsidR="00744638" w:rsidRPr="00CB6129">
        <w:rPr>
          <w:lang w:val="en-US"/>
        </w:rPr>
        <w:t>military</w:t>
      </w:r>
      <w:proofErr w:type="gramEnd"/>
      <w:r w:rsidR="00744638" w:rsidRPr="00CB6129">
        <w:rPr>
          <w:lang w:val="en-US"/>
        </w:rPr>
        <w:t xml:space="preserve"> terms – the United States had inflicted huge casualties until the </w:t>
      </w:r>
    </w:p>
    <w:p w:rsidR="00744638" w:rsidRPr="00CB6129" w:rsidRDefault="00591A26" w:rsidP="00744638">
      <w:pPr>
        <w:autoSpaceDE w:val="0"/>
        <w:autoSpaceDN w:val="0"/>
        <w:adjustRightInd w:val="0"/>
        <w:rPr>
          <w:lang w:val="en-US"/>
        </w:rPr>
      </w:pPr>
      <w:r w:rsidRPr="00CB6129">
        <w:rPr>
          <w:lang w:val="en-US"/>
        </w:rPr>
        <w:tab/>
      </w:r>
      <w:proofErr w:type="gramStart"/>
      <w:r w:rsidR="00744638" w:rsidRPr="00CB6129">
        <w:rPr>
          <w:lang w:val="en-US"/>
        </w:rPr>
        <w:t>enemy</w:t>
      </w:r>
      <w:proofErr w:type="gramEnd"/>
      <w:r w:rsidR="00744638" w:rsidRPr="00CB6129">
        <w:rPr>
          <w:lang w:val="en-US"/>
        </w:rPr>
        <w:t xml:space="preserve"> forces withdrew, and now there was little point in staying.</w:t>
      </w:r>
      <w:r w:rsidRPr="00CB6129">
        <w:rPr>
          <w:rStyle w:val="Appelnotedebasdep"/>
          <w:lang w:val="en-US"/>
        </w:rPr>
        <w:footnoteReference w:id="45"/>
      </w:r>
    </w:p>
    <w:p w:rsidR="00744638" w:rsidRPr="00CB6129" w:rsidRDefault="00744638" w:rsidP="00744638">
      <w:pPr>
        <w:autoSpaceDE w:val="0"/>
        <w:autoSpaceDN w:val="0"/>
        <w:adjustRightInd w:val="0"/>
        <w:rPr>
          <w:lang w:val="en-US"/>
        </w:rPr>
      </w:pPr>
    </w:p>
    <w:p w:rsidR="00A22A4A" w:rsidRPr="00CB6129" w:rsidRDefault="00A22A4A" w:rsidP="00EB6C59">
      <w:pPr>
        <w:rPr>
          <w:rFonts w:ascii="Arial" w:eastAsia="Times New Roman" w:hAnsi="Arial" w:cs="Arial"/>
          <w:sz w:val="18"/>
          <w:szCs w:val="18"/>
          <w:lang w:val="en-US" w:eastAsia="fr-FR"/>
        </w:rPr>
      </w:pPr>
      <w:r w:rsidRPr="00CB6129">
        <w:rPr>
          <w:lang w:val="en-US"/>
        </w:rPr>
        <w:tab/>
        <w:t>In considering abandonment as an option for returning control of Guantanamo Bay to Cuba, one must note that the U.S. Constitution d</w:t>
      </w:r>
      <w:r w:rsidRPr="00CB6129">
        <w:rPr>
          <w:rFonts w:eastAsia="Times New Roman" w:cs="Times New Roman"/>
          <w:szCs w:val="24"/>
          <w:bdr w:val="none" w:sz="0" w:space="0" w:color="auto" w:frame="1"/>
          <w:lang w:val="en-US" w:eastAsia="fr-FR"/>
        </w:rPr>
        <w:t>oes give Congress the power to regulate what can be done with “the Territory or other Property of the United States.”</w:t>
      </w:r>
      <w:r w:rsidRPr="00CB6129">
        <w:rPr>
          <w:rStyle w:val="Appelnotedebasdep"/>
          <w:rFonts w:eastAsia="Times New Roman" w:cs="Times New Roman"/>
          <w:szCs w:val="24"/>
          <w:bdr w:val="none" w:sz="0" w:space="0" w:color="auto" w:frame="1"/>
          <w:lang w:val="en-US" w:eastAsia="fr-FR"/>
        </w:rPr>
        <w:footnoteReference w:id="46"/>
      </w:r>
      <w:r w:rsidRPr="00CB6129">
        <w:rPr>
          <w:rFonts w:eastAsia="Times New Roman" w:cs="Times New Roman"/>
          <w:szCs w:val="24"/>
          <w:bdr w:val="none" w:sz="0" w:space="0" w:color="auto" w:frame="1"/>
          <w:lang w:val="en-US" w:eastAsia="fr-FR"/>
        </w:rPr>
        <w:t xml:space="preserve"> But Guantanamo Bay is under Cuba</w:t>
      </w:r>
      <w:r w:rsidR="00CF26C0" w:rsidRPr="00CB6129">
        <w:rPr>
          <w:rFonts w:eastAsia="Times New Roman" w:cs="Times New Roman"/>
          <w:szCs w:val="24"/>
          <w:bdr w:val="none" w:sz="0" w:space="0" w:color="auto" w:frame="1"/>
          <w:lang w:val="en-US" w:eastAsia="fr-FR"/>
        </w:rPr>
        <w:t>’s</w:t>
      </w:r>
      <w:r w:rsidRPr="00CB6129">
        <w:rPr>
          <w:rFonts w:eastAsia="Times New Roman" w:cs="Times New Roman"/>
          <w:szCs w:val="24"/>
          <w:bdr w:val="none" w:sz="0" w:space="0" w:color="auto" w:frame="1"/>
          <w:lang w:val="en-US" w:eastAsia="fr-FR"/>
        </w:rPr>
        <w:t xml:space="preserve"> sovereignty and is therefore Cuban territory and property</w:t>
      </w:r>
      <w:r w:rsidR="00CF26C0" w:rsidRPr="00CB6129">
        <w:rPr>
          <w:rFonts w:eastAsia="Times New Roman" w:cs="Times New Roman"/>
          <w:szCs w:val="24"/>
          <w:bdr w:val="none" w:sz="0" w:space="0" w:color="auto" w:frame="1"/>
          <w:lang w:val="en-US" w:eastAsia="fr-FR"/>
        </w:rPr>
        <w:t>: t</w:t>
      </w:r>
      <w:r w:rsidRPr="00CB6129">
        <w:rPr>
          <w:rFonts w:eastAsia="Times New Roman" w:cs="Times New Roman"/>
          <w:szCs w:val="24"/>
          <w:bdr w:val="none" w:sz="0" w:space="0" w:color="auto" w:frame="1"/>
          <w:lang w:val="en-US" w:eastAsia="fr-FR"/>
        </w:rPr>
        <w:t xml:space="preserve">he lease makes the United States a tenant, not the owner. Meanwhile, U.S. courts have ruled that Guantanamo Bay is not U.S. territory as defined by the </w:t>
      </w:r>
      <w:r w:rsidR="00EB6C59" w:rsidRPr="00CB6129">
        <w:rPr>
          <w:rFonts w:eastAsia="Times New Roman" w:cs="Times New Roman"/>
          <w:szCs w:val="24"/>
          <w:bdr w:val="none" w:sz="0" w:space="0" w:color="auto" w:frame="1"/>
          <w:lang w:val="en-US" w:eastAsia="fr-FR"/>
        </w:rPr>
        <w:t xml:space="preserve">Immigration and Nationality Act of </w:t>
      </w:r>
      <w:r w:rsidRPr="00CB6129">
        <w:rPr>
          <w:rFonts w:eastAsia="Times New Roman" w:cs="Times New Roman"/>
          <w:szCs w:val="24"/>
          <w:bdr w:val="none" w:sz="0" w:space="0" w:color="auto" w:frame="1"/>
          <w:lang w:val="en-US" w:eastAsia="fr-FR"/>
        </w:rPr>
        <w:t>1952</w:t>
      </w:r>
      <w:r w:rsidR="00EB6C59" w:rsidRPr="00CB6129">
        <w:rPr>
          <w:rFonts w:eastAsia="Times New Roman" w:cs="Times New Roman"/>
          <w:szCs w:val="24"/>
          <w:bdr w:val="none" w:sz="0" w:space="0" w:color="auto" w:frame="1"/>
          <w:lang w:val="en-US" w:eastAsia="fr-FR"/>
        </w:rPr>
        <w:t xml:space="preserve">, which </w:t>
      </w:r>
      <w:r w:rsidRPr="00CB6129">
        <w:rPr>
          <w:rFonts w:eastAsia="Times New Roman" w:cs="Times New Roman"/>
          <w:szCs w:val="24"/>
          <w:bdr w:val="none" w:sz="0" w:space="0" w:color="auto" w:frame="1"/>
          <w:lang w:val="en-US" w:eastAsia="fr-FR"/>
        </w:rPr>
        <w:t>detailed what U.S. territory does include.</w:t>
      </w:r>
      <w:r w:rsidR="00CF26C0" w:rsidRPr="00CB6129">
        <w:rPr>
          <w:rStyle w:val="Appelnotedebasdep"/>
          <w:rFonts w:eastAsia="Times New Roman" w:cs="Times New Roman"/>
          <w:szCs w:val="24"/>
          <w:bdr w:val="none" w:sz="0" w:space="0" w:color="auto" w:frame="1"/>
          <w:lang w:val="en-US" w:eastAsia="fr-FR"/>
        </w:rPr>
        <w:footnoteReference w:id="47"/>
      </w:r>
    </w:p>
    <w:p w:rsidR="00A22A4A" w:rsidRPr="00CB6129" w:rsidRDefault="00EB6C59" w:rsidP="00EB6C59">
      <w:pPr>
        <w:rPr>
          <w:rFonts w:ascii="Arial" w:eastAsia="Times New Roman" w:hAnsi="Arial" w:cs="Arial"/>
          <w:sz w:val="18"/>
          <w:szCs w:val="18"/>
          <w:lang w:val="en-US" w:eastAsia="fr-FR"/>
        </w:rPr>
      </w:pPr>
      <w:r w:rsidRPr="00CB6129">
        <w:rPr>
          <w:rFonts w:ascii="Arial" w:eastAsia="Times New Roman" w:hAnsi="Arial" w:cs="Arial"/>
          <w:sz w:val="18"/>
          <w:szCs w:val="18"/>
          <w:lang w:val="en-US" w:eastAsia="fr-FR"/>
        </w:rPr>
        <w:tab/>
      </w:r>
      <w:r w:rsidR="00A22A4A" w:rsidRPr="00CB6129">
        <w:rPr>
          <w:rFonts w:eastAsia="Times New Roman" w:cs="Times New Roman"/>
          <w:szCs w:val="24"/>
          <w:bdr w:val="none" w:sz="0" w:space="0" w:color="auto" w:frame="1"/>
          <w:lang w:val="en-US" w:eastAsia="fr-FR"/>
        </w:rPr>
        <w:t>Even if Guantanamo Bay were somehow considered U.S. property, it would</w:t>
      </w:r>
      <w:r w:rsidRPr="00CB6129">
        <w:rPr>
          <w:rFonts w:eastAsia="Times New Roman" w:cs="Times New Roman"/>
          <w:szCs w:val="24"/>
          <w:bdr w:val="none" w:sz="0" w:space="0" w:color="auto" w:frame="1"/>
          <w:lang w:val="en-US" w:eastAsia="fr-FR"/>
        </w:rPr>
        <w:t xml:space="preserve"> matter little </w:t>
      </w:r>
      <w:r w:rsidR="00A22A4A" w:rsidRPr="00CB6129">
        <w:rPr>
          <w:rFonts w:eastAsia="Times New Roman" w:cs="Times New Roman"/>
          <w:szCs w:val="24"/>
          <w:bdr w:val="none" w:sz="0" w:space="0" w:color="auto" w:frame="1"/>
          <w:lang w:val="en-US" w:eastAsia="fr-FR"/>
        </w:rPr>
        <w:t xml:space="preserve">because a U.S. appeals court had ruled that the </w:t>
      </w:r>
      <w:r w:rsidRPr="00CB6129">
        <w:rPr>
          <w:rFonts w:eastAsia="Times New Roman" w:cs="Times New Roman"/>
          <w:szCs w:val="24"/>
          <w:bdr w:val="none" w:sz="0" w:space="0" w:color="auto" w:frame="1"/>
          <w:lang w:val="en-US" w:eastAsia="fr-FR"/>
        </w:rPr>
        <w:t xml:space="preserve">executive branch </w:t>
      </w:r>
      <w:r w:rsidR="00A22A4A" w:rsidRPr="00CB6129">
        <w:rPr>
          <w:rFonts w:eastAsia="Times New Roman" w:cs="Times New Roman"/>
          <w:szCs w:val="24"/>
          <w:bdr w:val="none" w:sz="0" w:space="0" w:color="auto" w:frame="1"/>
          <w:lang w:val="en-US" w:eastAsia="fr-FR"/>
        </w:rPr>
        <w:t xml:space="preserve">can dispose of </w:t>
      </w:r>
      <w:r w:rsidRPr="00CB6129">
        <w:rPr>
          <w:rFonts w:eastAsia="Times New Roman" w:cs="Times New Roman"/>
          <w:szCs w:val="24"/>
          <w:bdr w:val="none" w:sz="0" w:space="0" w:color="auto" w:frame="1"/>
          <w:lang w:val="en-US" w:eastAsia="fr-FR"/>
        </w:rPr>
        <w:t xml:space="preserve">land without the consent of Congress. </w:t>
      </w:r>
      <w:r w:rsidR="00A22A4A" w:rsidRPr="00CB6129">
        <w:rPr>
          <w:rFonts w:eastAsia="Times New Roman" w:cs="Times New Roman"/>
          <w:szCs w:val="24"/>
          <w:bdr w:val="none" w:sz="0" w:space="0" w:color="auto" w:frame="1"/>
          <w:lang w:val="en-US" w:eastAsia="fr-FR"/>
        </w:rPr>
        <w:t>The ruling allowed the United States to return control of the Canal Zone, another leased territory, to Panama by treaty.</w:t>
      </w:r>
      <w:r w:rsidRPr="00CB6129">
        <w:rPr>
          <w:rStyle w:val="Appelnotedebasdep"/>
          <w:rFonts w:eastAsia="Times New Roman" w:cs="Times New Roman"/>
          <w:szCs w:val="24"/>
          <w:bdr w:val="none" w:sz="0" w:space="0" w:color="auto" w:frame="1"/>
          <w:lang w:val="en-US" w:eastAsia="fr-FR"/>
        </w:rPr>
        <w:footnoteReference w:id="48"/>
      </w:r>
    </w:p>
    <w:p w:rsidR="00A22A4A" w:rsidRPr="00CB6129" w:rsidRDefault="00A22A4A" w:rsidP="00396E9C">
      <w:pPr>
        <w:rPr>
          <w:lang w:val="en-US"/>
        </w:rPr>
      </w:pPr>
    </w:p>
    <w:p w:rsidR="00CF26C0" w:rsidRPr="00CB6129" w:rsidRDefault="00CF26C0" w:rsidP="00396E9C">
      <w:pPr>
        <w:rPr>
          <w:lang w:val="en-US"/>
        </w:rPr>
      </w:pPr>
    </w:p>
    <w:p w:rsidR="00250600" w:rsidRPr="00CB6129" w:rsidRDefault="00DA47CA" w:rsidP="00396E9C">
      <w:pPr>
        <w:rPr>
          <w:lang w:val="en-US"/>
        </w:rPr>
      </w:pPr>
      <w:r w:rsidRPr="00CB6129">
        <w:rPr>
          <w:lang w:val="en-US"/>
        </w:rPr>
        <w:t>Implications for the Guantanamo Bay Prison and Remaining Detainees</w:t>
      </w:r>
    </w:p>
    <w:p w:rsidR="00250600" w:rsidRPr="00CB6129" w:rsidRDefault="00250600" w:rsidP="00396E9C">
      <w:pPr>
        <w:rPr>
          <w:lang w:val="en-US"/>
        </w:rPr>
      </w:pPr>
    </w:p>
    <w:p w:rsidR="00ED5A3F" w:rsidRPr="00CB6129" w:rsidRDefault="00D2641E" w:rsidP="00F3148F">
      <w:pPr>
        <w:rPr>
          <w:lang w:val="en-US"/>
        </w:rPr>
      </w:pPr>
      <w:r w:rsidRPr="00CB6129">
        <w:rPr>
          <w:lang w:val="en-US"/>
        </w:rPr>
        <w:tab/>
        <w:t>In discussing the return of control of Guantanamo Bay to Cuba, the “elephant in the room”</w:t>
      </w:r>
      <w:r w:rsidR="00DA47CA" w:rsidRPr="00CB6129">
        <w:rPr>
          <w:lang w:val="en-US"/>
        </w:rPr>
        <w:t xml:space="preserve"> is</w:t>
      </w:r>
      <w:r w:rsidRPr="00CB6129">
        <w:rPr>
          <w:lang w:val="en-US"/>
        </w:rPr>
        <w:t xml:space="preserve"> the </w:t>
      </w:r>
      <w:r w:rsidR="009303D3" w:rsidRPr="00CB6129">
        <w:rPr>
          <w:lang w:val="en-US"/>
        </w:rPr>
        <w:t xml:space="preserve">U.S. </w:t>
      </w:r>
      <w:r w:rsidRPr="00CB6129">
        <w:rPr>
          <w:lang w:val="en-US"/>
        </w:rPr>
        <w:t xml:space="preserve">prison for alleged terrorists. </w:t>
      </w:r>
      <w:r w:rsidR="00ED5A3F" w:rsidRPr="00CB6129">
        <w:rPr>
          <w:lang w:val="en-US"/>
        </w:rPr>
        <w:t>U.S. President Barack Obama issued an executive order in 2009 to close the prison,</w:t>
      </w:r>
      <w:r w:rsidR="00ED5A3F" w:rsidRPr="00CB6129">
        <w:rPr>
          <w:rStyle w:val="Appelnotedebasdep"/>
          <w:lang w:val="en-US"/>
        </w:rPr>
        <w:footnoteReference w:id="49"/>
      </w:r>
      <w:r w:rsidR="00ED5A3F" w:rsidRPr="00CB6129">
        <w:rPr>
          <w:lang w:val="en-US"/>
        </w:rPr>
        <w:t xml:space="preserve"> but to date Congress has prevented its implementation. This raises </w:t>
      </w:r>
      <w:r w:rsidR="00DA47CA" w:rsidRPr="00CB6129">
        <w:rPr>
          <w:lang w:val="en-US"/>
        </w:rPr>
        <w:t xml:space="preserve">several </w:t>
      </w:r>
      <w:r w:rsidR="00ED5A3F" w:rsidRPr="00CB6129">
        <w:rPr>
          <w:lang w:val="en-US"/>
        </w:rPr>
        <w:t>questions</w:t>
      </w:r>
      <w:r w:rsidR="00DA47CA" w:rsidRPr="00CB6129">
        <w:rPr>
          <w:lang w:val="en-US"/>
        </w:rPr>
        <w:t xml:space="preserve">: </w:t>
      </w:r>
      <w:r w:rsidR="00ED5A3F" w:rsidRPr="00CB6129">
        <w:rPr>
          <w:lang w:val="en-US"/>
        </w:rPr>
        <w:t xml:space="preserve">whether a </w:t>
      </w:r>
      <w:r w:rsidRPr="00CB6129">
        <w:rPr>
          <w:lang w:val="en-US"/>
        </w:rPr>
        <w:t xml:space="preserve">transfer </w:t>
      </w:r>
      <w:r w:rsidR="00ED5A3F" w:rsidRPr="00CB6129">
        <w:rPr>
          <w:lang w:val="en-US"/>
        </w:rPr>
        <w:t xml:space="preserve">of control of Guantanamo </w:t>
      </w:r>
      <w:r w:rsidR="00DA47CA" w:rsidRPr="00CB6129">
        <w:rPr>
          <w:lang w:val="en-US"/>
        </w:rPr>
        <w:t xml:space="preserve">Bay </w:t>
      </w:r>
      <w:r w:rsidR="00ED5A3F" w:rsidRPr="00CB6129">
        <w:rPr>
          <w:lang w:val="en-US"/>
        </w:rPr>
        <w:t xml:space="preserve">may </w:t>
      </w:r>
      <w:r w:rsidRPr="00CB6129">
        <w:rPr>
          <w:lang w:val="en-US"/>
        </w:rPr>
        <w:t>occur while the prison is still operational</w:t>
      </w:r>
      <w:r w:rsidR="00F3148F" w:rsidRPr="00CB6129">
        <w:rPr>
          <w:lang w:val="en-US"/>
        </w:rPr>
        <w:t xml:space="preserve"> – and, if so, </w:t>
      </w:r>
      <w:r w:rsidRPr="00CB6129">
        <w:rPr>
          <w:lang w:val="en-US"/>
        </w:rPr>
        <w:t xml:space="preserve">what would (or could) happen to the prison, and what would (or could) happen to </w:t>
      </w:r>
      <w:r w:rsidR="00ED5A3F" w:rsidRPr="00CB6129">
        <w:rPr>
          <w:lang w:val="en-US"/>
        </w:rPr>
        <w:t xml:space="preserve">the </w:t>
      </w:r>
      <w:r w:rsidRPr="00CB6129">
        <w:rPr>
          <w:lang w:val="en-US"/>
        </w:rPr>
        <w:t>detainees</w:t>
      </w:r>
      <w:r w:rsidR="00ED5A3F" w:rsidRPr="00CB6129">
        <w:rPr>
          <w:lang w:val="en-US"/>
        </w:rPr>
        <w:t>.</w:t>
      </w:r>
    </w:p>
    <w:p w:rsidR="007D13CB" w:rsidRPr="00CB6129" w:rsidRDefault="00D2641E" w:rsidP="00F3148F">
      <w:pPr>
        <w:rPr>
          <w:lang w:val="en-US"/>
        </w:rPr>
      </w:pPr>
      <w:r w:rsidRPr="00CB6129">
        <w:rPr>
          <w:lang w:val="en-US"/>
        </w:rPr>
        <w:tab/>
        <w:t xml:space="preserve">The history of territories that are leased between states shows that a </w:t>
      </w:r>
      <w:r w:rsidR="00CF26C0" w:rsidRPr="00CB6129">
        <w:rPr>
          <w:lang w:val="en-US"/>
        </w:rPr>
        <w:t xml:space="preserve">recovery of control by </w:t>
      </w:r>
      <w:r w:rsidR="00ED5A3F" w:rsidRPr="00CB6129">
        <w:rPr>
          <w:lang w:val="en-US"/>
        </w:rPr>
        <w:t>the</w:t>
      </w:r>
      <w:r w:rsidRPr="00CB6129">
        <w:rPr>
          <w:lang w:val="en-US"/>
        </w:rPr>
        <w:t xml:space="preserve"> host state </w:t>
      </w:r>
      <w:r w:rsidR="00CF26C0" w:rsidRPr="00CB6129">
        <w:rPr>
          <w:lang w:val="en-US"/>
        </w:rPr>
        <w:t xml:space="preserve">when a lease terminates </w:t>
      </w:r>
      <w:r w:rsidRPr="00CB6129">
        <w:rPr>
          <w:lang w:val="en-US"/>
        </w:rPr>
        <w:t xml:space="preserve">results in the host state resuming the </w:t>
      </w:r>
      <w:r w:rsidR="00F3148F" w:rsidRPr="00CB6129">
        <w:rPr>
          <w:lang w:val="en-US"/>
        </w:rPr>
        <w:t xml:space="preserve">exercise </w:t>
      </w:r>
      <w:r w:rsidRPr="00CB6129">
        <w:rPr>
          <w:lang w:val="en-US"/>
        </w:rPr>
        <w:t>of its sovereign authority</w:t>
      </w:r>
      <w:r w:rsidR="00F3148F" w:rsidRPr="00CB6129">
        <w:rPr>
          <w:lang w:val="en-US"/>
        </w:rPr>
        <w:t>, including legal jurisdiction, over</w:t>
      </w:r>
      <w:r w:rsidRPr="00CB6129">
        <w:rPr>
          <w:lang w:val="en-US"/>
        </w:rPr>
        <w:t xml:space="preserve"> everything and everyone that is physically in the territory at the time of the transfer.</w:t>
      </w:r>
      <w:r w:rsidR="00F3148F" w:rsidRPr="00CB6129">
        <w:rPr>
          <w:lang w:val="en-US"/>
        </w:rPr>
        <w:t xml:space="preserve"> The parties to a territorial lease </w:t>
      </w:r>
      <w:r w:rsidR="009303D3" w:rsidRPr="00CB6129">
        <w:rPr>
          <w:lang w:val="en-US"/>
        </w:rPr>
        <w:t xml:space="preserve">sometimes negotiate </w:t>
      </w:r>
      <w:r w:rsidR="00F3148F" w:rsidRPr="00CB6129">
        <w:rPr>
          <w:lang w:val="en-US"/>
        </w:rPr>
        <w:t xml:space="preserve">“termination agreements” that </w:t>
      </w:r>
      <w:r w:rsidR="00CF26C0" w:rsidRPr="00CB6129">
        <w:rPr>
          <w:lang w:val="en-US"/>
        </w:rPr>
        <w:t xml:space="preserve">address practical matters or other condition </w:t>
      </w:r>
      <w:r w:rsidR="00F3148F" w:rsidRPr="00CB6129">
        <w:rPr>
          <w:lang w:val="en-US"/>
        </w:rPr>
        <w:t xml:space="preserve">pertaining to the </w:t>
      </w:r>
      <w:r w:rsidR="00ED5A3F" w:rsidRPr="00CB6129">
        <w:rPr>
          <w:lang w:val="en-US"/>
        </w:rPr>
        <w:t>transfer of</w:t>
      </w:r>
      <w:r w:rsidR="00F3148F" w:rsidRPr="00CB6129">
        <w:rPr>
          <w:lang w:val="en-US"/>
        </w:rPr>
        <w:t xml:space="preserve"> control,</w:t>
      </w:r>
      <w:r w:rsidR="009303D3" w:rsidRPr="00CB6129">
        <w:rPr>
          <w:rStyle w:val="Appelnotedebasdep"/>
          <w:lang w:val="en-US"/>
        </w:rPr>
        <w:footnoteReference w:id="50"/>
      </w:r>
      <w:r w:rsidR="00F3148F" w:rsidRPr="00CB6129">
        <w:rPr>
          <w:lang w:val="en-US"/>
        </w:rPr>
        <w:t xml:space="preserve"> and these may affect </w:t>
      </w:r>
      <w:r w:rsidR="00E81B09" w:rsidRPr="00CB6129">
        <w:rPr>
          <w:lang w:val="en-US"/>
        </w:rPr>
        <w:t xml:space="preserve">the </w:t>
      </w:r>
      <w:r w:rsidR="00F3148F" w:rsidRPr="00CB6129">
        <w:rPr>
          <w:lang w:val="en-US"/>
        </w:rPr>
        <w:t xml:space="preserve">legal treatment of persons within the </w:t>
      </w:r>
      <w:r w:rsidR="00ED5A3F" w:rsidRPr="00CB6129">
        <w:rPr>
          <w:lang w:val="en-US"/>
        </w:rPr>
        <w:t>territory</w:t>
      </w:r>
      <w:r w:rsidR="0004587A" w:rsidRPr="00CB6129">
        <w:rPr>
          <w:lang w:val="en-US"/>
        </w:rPr>
        <w:t>, including those in prison. This occurred, for instance, w</w:t>
      </w:r>
      <w:r w:rsidR="00ED5A3F" w:rsidRPr="00CB6129">
        <w:rPr>
          <w:lang w:val="en-US"/>
        </w:rPr>
        <w:t xml:space="preserve">ith respect to the expiration of </w:t>
      </w:r>
      <w:r w:rsidR="0004587A" w:rsidRPr="00CB6129">
        <w:rPr>
          <w:lang w:val="en-US"/>
        </w:rPr>
        <w:t>the United Kingdom’s lease of Hong Kong from China</w:t>
      </w:r>
      <w:r w:rsidR="00EC5F1F" w:rsidRPr="00CB6129">
        <w:rPr>
          <w:lang w:val="en-US"/>
        </w:rPr>
        <w:t xml:space="preserve"> in 1997</w:t>
      </w:r>
      <w:r w:rsidR="0004587A" w:rsidRPr="00CB6129">
        <w:rPr>
          <w:lang w:val="en-US"/>
        </w:rPr>
        <w:t>. More than a decade earlier, the parties agreed that Hong Kong’s existing laws would continue to apply for 50 years</w:t>
      </w:r>
      <w:r w:rsidR="007D13CB" w:rsidRPr="00CB6129">
        <w:rPr>
          <w:lang w:val="en-US"/>
        </w:rPr>
        <w:t xml:space="preserve"> after China recovered control</w:t>
      </w:r>
      <w:r w:rsidR="0004587A" w:rsidRPr="00CB6129">
        <w:rPr>
          <w:lang w:val="en-US"/>
        </w:rPr>
        <w:t>.</w:t>
      </w:r>
      <w:r w:rsidR="0004587A" w:rsidRPr="00CB6129">
        <w:rPr>
          <w:rStyle w:val="Appelnotedebasdep"/>
          <w:lang w:val="en-US"/>
        </w:rPr>
        <w:footnoteReference w:id="51"/>
      </w:r>
      <w:r w:rsidR="0004587A" w:rsidRPr="00CB6129">
        <w:rPr>
          <w:lang w:val="en-US"/>
        </w:rPr>
        <w:t xml:space="preserve"> In practice, </w:t>
      </w:r>
      <w:r w:rsidR="007D13CB" w:rsidRPr="00CB6129">
        <w:rPr>
          <w:lang w:val="en-US"/>
        </w:rPr>
        <w:t>this meant that persons who were in</w:t>
      </w:r>
      <w:r w:rsidR="0004587A" w:rsidRPr="00CB6129">
        <w:rPr>
          <w:lang w:val="en-US"/>
        </w:rPr>
        <w:t xml:space="preserve"> prison</w:t>
      </w:r>
      <w:r w:rsidR="007D13CB" w:rsidRPr="00CB6129">
        <w:rPr>
          <w:lang w:val="en-US"/>
        </w:rPr>
        <w:t xml:space="preserve"> when control was transferred </w:t>
      </w:r>
      <w:r w:rsidR="00E81B09" w:rsidRPr="00CB6129">
        <w:rPr>
          <w:lang w:val="en-US"/>
        </w:rPr>
        <w:t>came under Chinese jurisdiction</w:t>
      </w:r>
      <w:r w:rsidR="007D13CB" w:rsidRPr="00CB6129">
        <w:rPr>
          <w:lang w:val="en-US"/>
        </w:rPr>
        <w:t xml:space="preserve"> but with no </w:t>
      </w:r>
      <w:r w:rsidR="00EC5F1F" w:rsidRPr="00CB6129">
        <w:rPr>
          <w:lang w:val="en-US"/>
        </w:rPr>
        <w:t xml:space="preserve">immediate </w:t>
      </w:r>
      <w:r w:rsidR="007D13CB" w:rsidRPr="00CB6129">
        <w:rPr>
          <w:lang w:val="en-US"/>
        </w:rPr>
        <w:t>material change in their situations.</w:t>
      </w:r>
    </w:p>
    <w:p w:rsidR="00ED5A3F" w:rsidRPr="00CB6129" w:rsidRDefault="00E81B09" w:rsidP="00E81B09">
      <w:pPr>
        <w:shd w:val="clear" w:color="auto" w:fill="FFFFFF"/>
        <w:spacing w:line="234" w:lineRule="atLeast"/>
        <w:rPr>
          <w:rFonts w:eastAsia="Times New Roman" w:cs="Times New Roman"/>
          <w:szCs w:val="24"/>
          <w:bdr w:val="none" w:sz="0" w:space="0" w:color="auto" w:frame="1"/>
          <w:lang w:val="en-US" w:eastAsia="fr-FR"/>
        </w:rPr>
      </w:pPr>
      <w:r w:rsidRPr="00CB6129">
        <w:rPr>
          <w:lang w:val="en-US"/>
        </w:rPr>
        <w:tab/>
      </w:r>
      <w:r w:rsidR="00ED5A3F" w:rsidRPr="00CB6129">
        <w:rPr>
          <w:lang w:val="en-US"/>
        </w:rPr>
        <w:t>A total of 780 prisoners have been held at Guantanamo Bay for various periods</w:t>
      </w:r>
      <w:r w:rsidR="00EC5F1F" w:rsidRPr="00CB6129">
        <w:rPr>
          <w:lang w:val="en-US"/>
        </w:rPr>
        <w:t xml:space="preserve"> since 2002</w:t>
      </w:r>
      <w:r w:rsidR="00ED5A3F" w:rsidRPr="00CB6129">
        <w:rPr>
          <w:lang w:val="en-US"/>
        </w:rPr>
        <w:t xml:space="preserve">. </w:t>
      </w:r>
      <w:r w:rsidR="007D13CB" w:rsidRPr="00CB6129">
        <w:rPr>
          <w:lang w:val="en-US"/>
        </w:rPr>
        <w:t xml:space="preserve">As of 20 July 2016, there were still 76 prisoners detained </w:t>
      </w:r>
      <w:r w:rsidR="00ED5A3F" w:rsidRPr="00CB6129">
        <w:rPr>
          <w:lang w:val="en-US"/>
        </w:rPr>
        <w:t>there,</w:t>
      </w:r>
      <w:r w:rsidR="007D13CB" w:rsidRPr="00CB6129">
        <w:rPr>
          <w:lang w:val="en-US"/>
        </w:rPr>
        <w:t xml:space="preserve"> of which 59 have been imprisoned for more than a decade. </w:t>
      </w:r>
      <w:r w:rsidR="00717F22" w:rsidRPr="00CB6129">
        <w:rPr>
          <w:lang w:val="en-US"/>
        </w:rPr>
        <w:t>Most of the prisoners have not been charged with crimes or brought to trial</w:t>
      </w:r>
      <w:r w:rsidR="00892F96" w:rsidRPr="00CB6129">
        <w:rPr>
          <w:lang w:val="en-US"/>
        </w:rPr>
        <w:t>, an</w:t>
      </w:r>
      <w:r w:rsidR="00717F22" w:rsidRPr="00CB6129">
        <w:rPr>
          <w:lang w:val="en-US"/>
        </w:rPr>
        <w:t xml:space="preserve">d 31 </w:t>
      </w:r>
      <w:r w:rsidR="007D13CB" w:rsidRPr="00CB6129">
        <w:rPr>
          <w:lang w:val="en-US"/>
        </w:rPr>
        <w:t>have been approved for release.</w:t>
      </w:r>
      <w:r w:rsidR="00717F22" w:rsidRPr="00CB6129">
        <w:rPr>
          <w:rStyle w:val="Appelnotedebasdep"/>
          <w:lang w:val="en-US"/>
        </w:rPr>
        <w:footnoteReference w:id="52"/>
      </w:r>
      <w:r w:rsidR="007D13CB" w:rsidRPr="00CB6129">
        <w:rPr>
          <w:lang w:val="en-US"/>
        </w:rPr>
        <w:t xml:space="preserve"> </w:t>
      </w:r>
      <w:r w:rsidR="00892F96" w:rsidRPr="00CB6129">
        <w:rPr>
          <w:lang w:val="en-US"/>
        </w:rPr>
        <w:t>Non</w:t>
      </w:r>
      <w:r w:rsidRPr="00CB6129">
        <w:rPr>
          <w:rFonts w:eastAsia="Times New Roman" w:cs="Times New Roman"/>
          <w:szCs w:val="24"/>
          <w:bdr w:val="none" w:sz="0" w:space="0" w:color="auto" w:frame="1"/>
          <w:lang w:val="en-US" w:eastAsia="fr-FR"/>
        </w:rPr>
        <w:t xml:space="preserve">etheless, a few trials have been occurring and some prisoners who have not been charged are deemed dangerous by </w:t>
      </w:r>
      <w:r w:rsidR="00892F96" w:rsidRPr="00CB6129">
        <w:rPr>
          <w:rFonts w:eastAsia="Times New Roman" w:cs="Times New Roman"/>
          <w:szCs w:val="24"/>
          <w:bdr w:val="none" w:sz="0" w:space="0" w:color="auto" w:frame="1"/>
          <w:lang w:val="en-US" w:eastAsia="fr-FR"/>
        </w:rPr>
        <w:t>U.S. officials</w:t>
      </w:r>
      <w:r w:rsidRPr="00CB6129">
        <w:rPr>
          <w:rFonts w:eastAsia="Times New Roman" w:cs="Times New Roman"/>
          <w:szCs w:val="24"/>
          <w:bdr w:val="none" w:sz="0" w:space="0" w:color="auto" w:frame="1"/>
          <w:lang w:val="en-US" w:eastAsia="fr-FR"/>
        </w:rPr>
        <w:t xml:space="preserve">. </w:t>
      </w:r>
    </w:p>
    <w:p w:rsidR="003D383E" w:rsidRPr="00CB6129" w:rsidRDefault="00ED5A3F" w:rsidP="00E81B09">
      <w:pPr>
        <w:shd w:val="clear" w:color="auto" w:fill="FFFFFF"/>
        <w:spacing w:line="234" w:lineRule="atLeast"/>
        <w:rPr>
          <w:rFonts w:eastAsia="Times New Roman" w:cs="Times New Roman"/>
          <w:szCs w:val="24"/>
          <w:bdr w:val="none" w:sz="0" w:space="0" w:color="auto" w:frame="1"/>
          <w:lang w:val="en-US" w:eastAsia="fr-FR"/>
        </w:rPr>
      </w:pPr>
      <w:r w:rsidRPr="00CB6129">
        <w:rPr>
          <w:rFonts w:eastAsia="Times New Roman" w:cs="Times New Roman"/>
          <w:szCs w:val="24"/>
          <w:bdr w:val="none" w:sz="0" w:space="0" w:color="auto" w:frame="1"/>
          <w:lang w:val="en-US" w:eastAsia="fr-FR"/>
        </w:rPr>
        <w:tab/>
        <w:t xml:space="preserve">Political </w:t>
      </w:r>
      <w:r w:rsidR="00EC5F1F" w:rsidRPr="00CB6129">
        <w:rPr>
          <w:rFonts w:eastAsia="Times New Roman" w:cs="Times New Roman"/>
          <w:szCs w:val="24"/>
          <w:bdr w:val="none" w:sz="0" w:space="0" w:color="auto" w:frame="1"/>
          <w:lang w:val="en-US" w:eastAsia="fr-FR"/>
        </w:rPr>
        <w:t xml:space="preserve">as well as legal </w:t>
      </w:r>
      <w:r w:rsidRPr="00CB6129">
        <w:rPr>
          <w:rFonts w:eastAsia="Times New Roman" w:cs="Times New Roman"/>
          <w:szCs w:val="24"/>
          <w:bdr w:val="none" w:sz="0" w:space="0" w:color="auto" w:frame="1"/>
          <w:lang w:val="en-US" w:eastAsia="fr-FR"/>
        </w:rPr>
        <w:t>considerations would inevitably arise i</w:t>
      </w:r>
      <w:r w:rsidR="00892F96" w:rsidRPr="00CB6129">
        <w:rPr>
          <w:rFonts w:eastAsia="Times New Roman" w:cs="Times New Roman"/>
          <w:szCs w:val="24"/>
          <w:bdr w:val="none" w:sz="0" w:space="0" w:color="auto" w:frame="1"/>
          <w:lang w:val="en-US" w:eastAsia="fr-FR"/>
        </w:rPr>
        <w:t xml:space="preserve">f </w:t>
      </w:r>
      <w:r w:rsidR="00E81B09" w:rsidRPr="00CB6129">
        <w:rPr>
          <w:rFonts w:eastAsia="Times New Roman" w:cs="Times New Roman"/>
          <w:szCs w:val="24"/>
          <w:bdr w:val="none" w:sz="0" w:space="0" w:color="auto" w:frame="1"/>
          <w:lang w:val="en-US" w:eastAsia="fr-FR"/>
        </w:rPr>
        <w:t>Cuba w</w:t>
      </w:r>
      <w:r w:rsidR="00892F96" w:rsidRPr="00CB6129">
        <w:rPr>
          <w:rFonts w:eastAsia="Times New Roman" w:cs="Times New Roman"/>
          <w:szCs w:val="24"/>
          <w:bdr w:val="none" w:sz="0" w:space="0" w:color="auto" w:frame="1"/>
          <w:lang w:val="en-US" w:eastAsia="fr-FR"/>
        </w:rPr>
        <w:t xml:space="preserve">ere to </w:t>
      </w:r>
      <w:r w:rsidR="00EC5F1F" w:rsidRPr="00CB6129">
        <w:rPr>
          <w:rFonts w:eastAsia="Times New Roman" w:cs="Times New Roman"/>
          <w:szCs w:val="24"/>
          <w:bdr w:val="none" w:sz="0" w:space="0" w:color="auto" w:frame="1"/>
          <w:lang w:val="en-US" w:eastAsia="fr-FR"/>
        </w:rPr>
        <w:t>assume jurisdiction over</w:t>
      </w:r>
      <w:r w:rsidR="00892F96" w:rsidRPr="00CB6129">
        <w:rPr>
          <w:rFonts w:eastAsia="Times New Roman" w:cs="Times New Roman"/>
          <w:szCs w:val="24"/>
          <w:bdr w:val="none" w:sz="0" w:space="0" w:color="auto" w:frame="1"/>
          <w:lang w:val="en-US" w:eastAsia="fr-FR"/>
        </w:rPr>
        <w:t xml:space="preserve"> the </w:t>
      </w:r>
      <w:r w:rsidRPr="00CB6129">
        <w:rPr>
          <w:rFonts w:eastAsia="Times New Roman" w:cs="Times New Roman"/>
          <w:szCs w:val="24"/>
          <w:bdr w:val="none" w:sz="0" w:space="0" w:color="auto" w:frame="1"/>
          <w:lang w:val="en-US" w:eastAsia="fr-FR"/>
        </w:rPr>
        <w:t xml:space="preserve">remaining </w:t>
      </w:r>
      <w:r w:rsidR="00892F96" w:rsidRPr="00CB6129">
        <w:rPr>
          <w:rFonts w:eastAsia="Times New Roman" w:cs="Times New Roman"/>
          <w:szCs w:val="24"/>
          <w:bdr w:val="none" w:sz="0" w:space="0" w:color="auto" w:frame="1"/>
          <w:lang w:val="en-US" w:eastAsia="fr-FR"/>
        </w:rPr>
        <w:t xml:space="preserve">prisoners </w:t>
      </w:r>
      <w:r w:rsidR="00EC5F1F" w:rsidRPr="00CB6129">
        <w:rPr>
          <w:rFonts w:eastAsia="Times New Roman" w:cs="Times New Roman"/>
          <w:szCs w:val="24"/>
          <w:bdr w:val="none" w:sz="0" w:space="0" w:color="auto" w:frame="1"/>
          <w:lang w:val="en-US" w:eastAsia="fr-FR"/>
        </w:rPr>
        <w:t xml:space="preserve">when </w:t>
      </w:r>
      <w:r w:rsidR="00892F96" w:rsidRPr="00CB6129">
        <w:rPr>
          <w:rFonts w:eastAsia="Times New Roman" w:cs="Times New Roman"/>
          <w:szCs w:val="24"/>
          <w:bdr w:val="none" w:sz="0" w:space="0" w:color="auto" w:frame="1"/>
          <w:lang w:val="en-US" w:eastAsia="fr-FR"/>
        </w:rPr>
        <w:t>recovering control of Guantanamo Bay</w:t>
      </w:r>
      <w:r w:rsidRPr="00CB6129">
        <w:rPr>
          <w:rFonts w:eastAsia="Times New Roman" w:cs="Times New Roman"/>
          <w:szCs w:val="24"/>
          <w:bdr w:val="none" w:sz="0" w:space="0" w:color="auto" w:frame="1"/>
          <w:lang w:val="en-US" w:eastAsia="fr-FR"/>
        </w:rPr>
        <w:t xml:space="preserve">. </w:t>
      </w:r>
      <w:r w:rsidR="001F524C" w:rsidRPr="00CB6129">
        <w:rPr>
          <w:rFonts w:eastAsia="Times New Roman" w:cs="Times New Roman"/>
          <w:szCs w:val="24"/>
          <w:bdr w:val="none" w:sz="0" w:space="0" w:color="auto" w:frame="1"/>
          <w:lang w:val="en-US" w:eastAsia="fr-FR"/>
        </w:rPr>
        <w:t xml:space="preserve">A possible scenario is that Cuba </w:t>
      </w:r>
      <w:r w:rsidR="00EC5F1F" w:rsidRPr="00CB6129">
        <w:rPr>
          <w:rFonts w:eastAsia="Times New Roman" w:cs="Times New Roman"/>
          <w:szCs w:val="24"/>
          <w:bdr w:val="none" w:sz="0" w:space="0" w:color="auto" w:frame="1"/>
          <w:lang w:val="en-US" w:eastAsia="fr-FR"/>
        </w:rPr>
        <w:t xml:space="preserve">would </w:t>
      </w:r>
      <w:r w:rsidRPr="00CB6129">
        <w:rPr>
          <w:rFonts w:eastAsia="Times New Roman" w:cs="Times New Roman"/>
          <w:szCs w:val="24"/>
          <w:bdr w:val="none" w:sz="0" w:space="0" w:color="auto" w:frame="1"/>
          <w:lang w:val="en-US" w:eastAsia="fr-FR"/>
        </w:rPr>
        <w:t xml:space="preserve">consider </w:t>
      </w:r>
      <w:r w:rsidR="001F524C" w:rsidRPr="00CB6129">
        <w:rPr>
          <w:rFonts w:eastAsia="Times New Roman" w:cs="Times New Roman"/>
          <w:szCs w:val="24"/>
          <w:bdr w:val="none" w:sz="0" w:space="0" w:color="auto" w:frame="1"/>
          <w:lang w:val="en-US" w:eastAsia="fr-FR"/>
        </w:rPr>
        <w:t>this</w:t>
      </w:r>
      <w:r w:rsidR="00311F8F" w:rsidRPr="00CB6129">
        <w:rPr>
          <w:rFonts w:eastAsia="Times New Roman" w:cs="Times New Roman"/>
          <w:szCs w:val="24"/>
          <w:bdr w:val="none" w:sz="0" w:space="0" w:color="auto" w:frame="1"/>
          <w:lang w:val="en-US" w:eastAsia="fr-FR"/>
        </w:rPr>
        <w:t xml:space="preserve"> un</w:t>
      </w:r>
      <w:r w:rsidR="00EC5F1F" w:rsidRPr="00CB6129">
        <w:rPr>
          <w:rFonts w:eastAsia="Times New Roman" w:cs="Times New Roman"/>
          <w:szCs w:val="24"/>
          <w:bdr w:val="none" w:sz="0" w:space="0" w:color="auto" w:frame="1"/>
          <w:lang w:val="en-US" w:eastAsia="fr-FR"/>
        </w:rPr>
        <w:t xml:space="preserve">desirable but </w:t>
      </w:r>
      <w:r w:rsidR="001F524C" w:rsidRPr="00CB6129">
        <w:rPr>
          <w:rFonts w:eastAsia="Times New Roman" w:cs="Times New Roman"/>
          <w:szCs w:val="24"/>
          <w:bdr w:val="none" w:sz="0" w:space="0" w:color="auto" w:frame="1"/>
          <w:lang w:val="en-US" w:eastAsia="fr-FR"/>
        </w:rPr>
        <w:t xml:space="preserve">acceptable </w:t>
      </w:r>
      <w:r w:rsidR="00EC5F1F" w:rsidRPr="00CB6129">
        <w:rPr>
          <w:rFonts w:eastAsia="Times New Roman" w:cs="Times New Roman"/>
          <w:szCs w:val="24"/>
          <w:bdr w:val="none" w:sz="0" w:space="0" w:color="auto" w:frame="1"/>
          <w:lang w:val="en-US" w:eastAsia="fr-FR"/>
        </w:rPr>
        <w:t>as the price for achieving its</w:t>
      </w:r>
      <w:r w:rsidR="00892F96" w:rsidRPr="00CB6129">
        <w:rPr>
          <w:rFonts w:eastAsia="Times New Roman" w:cs="Times New Roman"/>
          <w:szCs w:val="24"/>
          <w:bdr w:val="none" w:sz="0" w:space="0" w:color="auto" w:frame="1"/>
          <w:lang w:val="en-US" w:eastAsia="fr-FR"/>
        </w:rPr>
        <w:t xml:space="preserve"> </w:t>
      </w:r>
      <w:r w:rsidR="00EC5F1F" w:rsidRPr="00CB6129">
        <w:rPr>
          <w:rFonts w:eastAsia="Times New Roman" w:cs="Times New Roman"/>
          <w:szCs w:val="24"/>
          <w:bdr w:val="none" w:sz="0" w:space="0" w:color="auto" w:frame="1"/>
          <w:lang w:val="en-US" w:eastAsia="fr-FR"/>
        </w:rPr>
        <w:t xml:space="preserve">long-standing national </w:t>
      </w:r>
      <w:r w:rsidR="00892F96" w:rsidRPr="00CB6129">
        <w:rPr>
          <w:rFonts w:eastAsia="Times New Roman" w:cs="Times New Roman"/>
          <w:szCs w:val="24"/>
          <w:bdr w:val="none" w:sz="0" w:space="0" w:color="auto" w:frame="1"/>
          <w:lang w:val="en-US" w:eastAsia="fr-FR"/>
        </w:rPr>
        <w:t>objective of</w:t>
      </w:r>
      <w:r w:rsidR="00EC5F1F" w:rsidRPr="00CB6129">
        <w:rPr>
          <w:rFonts w:eastAsia="Times New Roman" w:cs="Times New Roman"/>
          <w:szCs w:val="24"/>
          <w:bdr w:val="none" w:sz="0" w:space="0" w:color="auto" w:frame="1"/>
          <w:lang w:val="en-US" w:eastAsia="fr-FR"/>
        </w:rPr>
        <w:t xml:space="preserve"> </w:t>
      </w:r>
      <w:r w:rsidR="003D383E" w:rsidRPr="00CB6129">
        <w:rPr>
          <w:rFonts w:eastAsia="Times New Roman" w:cs="Times New Roman"/>
          <w:szCs w:val="24"/>
          <w:bdr w:val="none" w:sz="0" w:space="0" w:color="auto" w:frame="1"/>
          <w:lang w:val="en-US" w:eastAsia="fr-FR"/>
        </w:rPr>
        <w:t xml:space="preserve">getting </w:t>
      </w:r>
      <w:r w:rsidR="00EC5F1F" w:rsidRPr="00CB6129">
        <w:rPr>
          <w:rFonts w:eastAsia="Times New Roman" w:cs="Times New Roman"/>
          <w:szCs w:val="24"/>
          <w:bdr w:val="none" w:sz="0" w:space="0" w:color="auto" w:frame="1"/>
          <w:lang w:val="en-US" w:eastAsia="fr-FR"/>
        </w:rPr>
        <w:t xml:space="preserve">control </w:t>
      </w:r>
      <w:r w:rsidR="003D383E" w:rsidRPr="00CB6129">
        <w:rPr>
          <w:rFonts w:eastAsia="Times New Roman" w:cs="Times New Roman"/>
          <w:szCs w:val="24"/>
          <w:bdr w:val="none" w:sz="0" w:space="0" w:color="auto" w:frame="1"/>
          <w:lang w:val="en-US" w:eastAsia="fr-FR"/>
        </w:rPr>
        <w:t>of the territory back</w:t>
      </w:r>
      <w:r w:rsidR="00311F8F" w:rsidRPr="00CB6129">
        <w:rPr>
          <w:rFonts w:eastAsia="Times New Roman" w:cs="Times New Roman"/>
          <w:szCs w:val="24"/>
          <w:bdr w:val="none" w:sz="0" w:space="0" w:color="auto" w:frame="1"/>
          <w:lang w:val="en-US" w:eastAsia="fr-FR"/>
        </w:rPr>
        <w:t xml:space="preserve"> – i</w:t>
      </w:r>
      <w:r w:rsidR="003D383E" w:rsidRPr="00CB6129">
        <w:rPr>
          <w:rFonts w:eastAsia="Times New Roman" w:cs="Times New Roman"/>
          <w:szCs w:val="24"/>
          <w:bdr w:val="none" w:sz="0" w:space="0" w:color="auto" w:frame="1"/>
          <w:lang w:val="en-US" w:eastAsia="fr-FR"/>
        </w:rPr>
        <w:t>n effect, i</w:t>
      </w:r>
      <w:r w:rsidR="00311F8F" w:rsidRPr="00CB6129">
        <w:rPr>
          <w:rFonts w:eastAsia="Times New Roman" w:cs="Times New Roman"/>
          <w:szCs w:val="24"/>
          <w:bdr w:val="none" w:sz="0" w:space="0" w:color="auto" w:frame="1"/>
          <w:lang w:val="en-US" w:eastAsia="fr-FR"/>
        </w:rPr>
        <w:t>t would be exchanging an open-ended situation (</w:t>
      </w:r>
      <w:r w:rsidR="003D383E" w:rsidRPr="00CB6129">
        <w:rPr>
          <w:rFonts w:eastAsia="Times New Roman" w:cs="Times New Roman"/>
          <w:szCs w:val="24"/>
          <w:bdr w:val="none" w:sz="0" w:space="0" w:color="auto" w:frame="1"/>
          <w:lang w:val="en-US" w:eastAsia="fr-FR"/>
        </w:rPr>
        <w:t>the</w:t>
      </w:r>
      <w:r w:rsidR="00311F8F" w:rsidRPr="00CB6129">
        <w:rPr>
          <w:rFonts w:eastAsia="Times New Roman" w:cs="Times New Roman"/>
          <w:szCs w:val="24"/>
          <w:bdr w:val="none" w:sz="0" w:space="0" w:color="auto" w:frame="1"/>
          <w:lang w:val="en-US" w:eastAsia="fr-FR"/>
        </w:rPr>
        <w:t xml:space="preserve"> lack of control</w:t>
      </w:r>
      <w:r w:rsidR="003D383E" w:rsidRPr="00CB6129">
        <w:rPr>
          <w:rFonts w:eastAsia="Times New Roman" w:cs="Times New Roman"/>
          <w:szCs w:val="24"/>
          <w:bdr w:val="none" w:sz="0" w:space="0" w:color="auto" w:frame="1"/>
          <w:lang w:val="en-US" w:eastAsia="fr-FR"/>
        </w:rPr>
        <w:t xml:space="preserve"> of Guantanamo Bay) for one of</w:t>
      </w:r>
      <w:r w:rsidR="00311F8F" w:rsidRPr="00CB6129">
        <w:rPr>
          <w:rFonts w:eastAsia="Times New Roman" w:cs="Times New Roman"/>
          <w:szCs w:val="24"/>
          <w:bdr w:val="none" w:sz="0" w:space="0" w:color="auto" w:frame="1"/>
          <w:lang w:val="en-US" w:eastAsia="fr-FR"/>
        </w:rPr>
        <w:t xml:space="preserve"> limited duration (the life span of the prisoners</w:t>
      </w:r>
      <w:r w:rsidR="003D383E" w:rsidRPr="00CB6129">
        <w:rPr>
          <w:rFonts w:eastAsia="Times New Roman" w:cs="Times New Roman"/>
          <w:szCs w:val="24"/>
          <w:bdr w:val="none" w:sz="0" w:space="0" w:color="auto" w:frame="1"/>
          <w:lang w:val="en-US" w:eastAsia="fr-FR"/>
        </w:rPr>
        <w:t xml:space="preserve">, if there is no change in their </w:t>
      </w:r>
      <w:r w:rsidR="003D383E" w:rsidRPr="00CB6129">
        <w:rPr>
          <w:rFonts w:eastAsia="Times New Roman" w:cs="Times New Roman"/>
          <w:i/>
          <w:szCs w:val="24"/>
          <w:bdr w:val="none" w:sz="0" w:space="0" w:color="auto" w:frame="1"/>
          <w:lang w:val="en-US" w:eastAsia="fr-FR"/>
        </w:rPr>
        <w:t>status quo</w:t>
      </w:r>
      <w:r w:rsidR="00311F8F" w:rsidRPr="00CB6129">
        <w:rPr>
          <w:rFonts w:eastAsia="Times New Roman" w:cs="Times New Roman"/>
          <w:szCs w:val="24"/>
          <w:bdr w:val="none" w:sz="0" w:space="0" w:color="auto" w:frame="1"/>
          <w:lang w:val="en-US" w:eastAsia="fr-FR"/>
        </w:rPr>
        <w:t xml:space="preserve">). </w:t>
      </w:r>
      <w:r w:rsidR="000B2C21" w:rsidRPr="00CB6129">
        <w:rPr>
          <w:rFonts w:eastAsia="Times New Roman" w:cs="Times New Roman"/>
          <w:szCs w:val="24"/>
          <w:bdr w:val="none" w:sz="0" w:space="0" w:color="auto" w:frame="1"/>
          <w:lang w:val="en-US" w:eastAsia="fr-FR"/>
        </w:rPr>
        <w:t>The</w:t>
      </w:r>
      <w:r w:rsidR="001F524C" w:rsidRPr="00CB6129">
        <w:rPr>
          <w:rFonts w:eastAsia="Times New Roman" w:cs="Times New Roman"/>
          <w:szCs w:val="24"/>
          <w:bdr w:val="none" w:sz="0" w:space="0" w:color="auto" w:frame="1"/>
          <w:lang w:val="en-US" w:eastAsia="fr-FR"/>
        </w:rPr>
        <w:t xml:space="preserve"> prisoners’</w:t>
      </w:r>
      <w:r w:rsidR="000B2C21" w:rsidRPr="00CB6129">
        <w:rPr>
          <w:rFonts w:eastAsia="Times New Roman" w:cs="Times New Roman"/>
          <w:szCs w:val="24"/>
          <w:bdr w:val="none" w:sz="0" w:space="0" w:color="auto" w:frame="1"/>
          <w:lang w:val="en-US" w:eastAsia="fr-FR"/>
        </w:rPr>
        <w:t xml:space="preserve"> treatment under Cuban jurisdiction m</w:t>
      </w:r>
      <w:r w:rsidR="00892F96" w:rsidRPr="00CB6129">
        <w:rPr>
          <w:rFonts w:eastAsia="Times New Roman" w:cs="Times New Roman"/>
          <w:szCs w:val="24"/>
          <w:bdr w:val="none" w:sz="0" w:space="0" w:color="auto" w:frame="1"/>
          <w:lang w:val="en-US" w:eastAsia="fr-FR"/>
        </w:rPr>
        <w:t>ay be subject to a negotiated agreement with the United States</w:t>
      </w:r>
      <w:r w:rsidR="000B2C21" w:rsidRPr="00CB6129">
        <w:rPr>
          <w:rFonts w:eastAsia="Times New Roman" w:cs="Times New Roman"/>
          <w:szCs w:val="24"/>
          <w:bdr w:val="none" w:sz="0" w:space="0" w:color="auto" w:frame="1"/>
          <w:lang w:val="en-US" w:eastAsia="fr-FR"/>
        </w:rPr>
        <w:t>,</w:t>
      </w:r>
      <w:r w:rsidR="00892F96" w:rsidRPr="00CB6129">
        <w:rPr>
          <w:rFonts w:eastAsia="Times New Roman" w:cs="Times New Roman"/>
          <w:szCs w:val="24"/>
          <w:bdr w:val="none" w:sz="0" w:space="0" w:color="auto" w:frame="1"/>
          <w:lang w:val="en-US" w:eastAsia="fr-FR"/>
        </w:rPr>
        <w:t xml:space="preserve"> or it may be </w:t>
      </w:r>
      <w:r w:rsidR="000B2C21" w:rsidRPr="00CB6129">
        <w:rPr>
          <w:rFonts w:eastAsia="Times New Roman" w:cs="Times New Roman"/>
          <w:szCs w:val="24"/>
          <w:bdr w:val="none" w:sz="0" w:space="0" w:color="auto" w:frame="1"/>
          <w:lang w:val="en-US" w:eastAsia="fr-FR"/>
        </w:rPr>
        <w:t xml:space="preserve">for Cuba alone </w:t>
      </w:r>
      <w:r w:rsidR="00892F96" w:rsidRPr="00CB6129">
        <w:rPr>
          <w:rFonts w:eastAsia="Times New Roman" w:cs="Times New Roman"/>
          <w:szCs w:val="24"/>
          <w:bdr w:val="none" w:sz="0" w:space="0" w:color="auto" w:frame="1"/>
          <w:lang w:val="en-US" w:eastAsia="fr-FR"/>
        </w:rPr>
        <w:t>to d</w:t>
      </w:r>
      <w:r w:rsidR="00E81B09" w:rsidRPr="00CB6129">
        <w:rPr>
          <w:rFonts w:eastAsia="Times New Roman" w:cs="Times New Roman"/>
          <w:szCs w:val="24"/>
          <w:bdr w:val="none" w:sz="0" w:space="0" w:color="auto" w:frame="1"/>
          <w:lang w:val="en-US" w:eastAsia="fr-FR"/>
        </w:rPr>
        <w:t>etermine</w:t>
      </w:r>
      <w:r w:rsidR="00DA47CA" w:rsidRPr="00CB6129">
        <w:rPr>
          <w:rFonts w:eastAsia="Times New Roman" w:cs="Times New Roman"/>
          <w:szCs w:val="24"/>
          <w:bdr w:val="none" w:sz="0" w:space="0" w:color="auto" w:frame="1"/>
          <w:lang w:val="en-US" w:eastAsia="fr-FR"/>
        </w:rPr>
        <w:t>.</w:t>
      </w:r>
    </w:p>
    <w:p w:rsidR="00AB2035" w:rsidRPr="00CB6129" w:rsidRDefault="003D383E" w:rsidP="00E81B09">
      <w:pPr>
        <w:shd w:val="clear" w:color="auto" w:fill="FFFFFF"/>
        <w:spacing w:line="234" w:lineRule="atLeast"/>
        <w:rPr>
          <w:rFonts w:eastAsia="Times New Roman" w:cs="Times New Roman"/>
          <w:szCs w:val="24"/>
          <w:bdr w:val="none" w:sz="0" w:space="0" w:color="auto" w:frame="1"/>
          <w:lang w:val="en-US" w:eastAsia="fr-FR"/>
        </w:rPr>
      </w:pPr>
      <w:r w:rsidRPr="00CB6129">
        <w:rPr>
          <w:rFonts w:eastAsia="Times New Roman" w:cs="Times New Roman"/>
          <w:szCs w:val="24"/>
          <w:bdr w:val="none" w:sz="0" w:space="0" w:color="auto" w:frame="1"/>
          <w:lang w:val="en-US" w:eastAsia="fr-FR"/>
        </w:rPr>
        <w:tab/>
      </w:r>
      <w:r w:rsidR="00E81B09" w:rsidRPr="00CB6129">
        <w:rPr>
          <w:rFonts w:eastAsia="Times New Roman" w:cs="Times New Roman"/>
          <w:szCs w:val="24"/>
          <w:bdr w:val="none" w:sz="0" w:space="0" w:color="auto" w:frame="1"/>
          <w:lang w:val="en-US" w:eastAsia="fr-FR"/>
        </w:rPr>
        <w:t>Cuba is often criticized for its human rights record, not least by the United States</w:t>
      </w:r>
      <w:r w:rsidR="001F524C" w:rsidRPr="00CB6129">
        <w:rPr>
          <w:rFonts w:eastAsia="Times New Roman" w:cs="Times New Roman"/>
          <w:szCs w:val="24"/>
          <w:bdr w:val="none" w:sz="0" w:space="0" w:color="auto" w:frame="1"/>
          <w:lang w:val="en-US" w:eastAsia="fr-FR"/>
        </w:rPr>
        <w:t xml:space="preserve">, so it </w:t>
      </w:r>
      <w:r w:rsidRPr="00CB6129">
        <w:rPr>
          <w:rFonts w:eastAsia="Times New Roman" w:cs="Times New Roman"/>
          <w:szCs w:val="24"/>
          <w:bdr w:val="none" w:sz="0" w:space="0" w:color="auto" w:frame="1"/>
          <w:lang w:val="en-US" w:eastAsia="fr-FR"/>
        </w:rPr>
        <w:t xml:space="preserve">is relevant to ask </w:t>
      </w:r>
      <w:r w:rsidR="001F524C" w:rsidRPr="00CB6129">
        <w:rPr>
          <w:rFonts w:eastAsia="Times New Roman" w:cs="Times New Roman"/>
          <w:szCs w:val="24"/>
          <w:bdr w:val="none" w:sz="0" w:space="0" w:color="auto" w:frame="1"/>
          <w:lang w:val="en-US" w:eastAsia="fr-FR"/>
        </w:rPr>
        <w:t xml:space="preserve">how </w:t>
      </w:r>
      <w:r w:rsidR="00E81B09" w:rsidRPr="00CB6129">
        <w:rPr>
          <w:rFonts w:eastAsia="Times New Roman" w:cs="Times New Roman"/>
          <w:szCs w:val="24"/>
          <w:bdr w:val="none" w:sz="0" w:space="0" w:color="auto" w:frame="1"/>
          <w:lang w:val="en-US" w:eastAsia="fr-FR"/>
        </w:rPr>
        <w:t xml:space="preserve">a transfer of prisoners to Cuban jurisdiction </w:t>
      </w:r>
      <w:r w:rsidR="001F524C" w:rsidRPr="00CB6129">
        <w:rPr>
          <w:rFonts w:eastAsia="Times New Roman" w:cs="Times New Roman"/>
          <w:szCs w:val="24"/>
          <w:bdr w:val="none" w:sz="0" w:space="0" w:color="auto" w:frame="1"/>
          <w:lang w:val="en-US" w:eastAsia="fr-FR"/>
        </w:rPr>
        <w:t>might affect t</w:t>
      </w:r>
      <w:r w:rsidR="00E81B09" w:rsidRPr="00CB6129">
        <w:rPr>
          <w:rFonts w:eastAsia="Times New Roman" w:cs="Times New Roman"/>
          <w:szCs w:val="24"/>
          <w:bdr w:val="none" w:sz="0" w:space="0" w:color="auto" w:frame="1"/>
          <w:lang w:val="en-US" w:eastAsia="fr-FR"/>
        </w:rPr>
        <w:t xml:space="preserve">heir situation. Here, one can turn to the </w:t>
      </w:r>
      <w:r w:rsidR="000B2C21" w:rsidRPr="00CB6129">
        <w:rPr>
          <w:rFonts w:eastAsia="Times New Roman" w:cs="Times New Roman"/>
          <w:szCs w:val="24"/>
          <w:bdr w:val="none" w:sz="0" w:space="0" w:color="auto" w:frame="1"/>
          <w:lang w:val="en-US" w:eastAsia="fr-FR"/>
        </w:rPr>
        <w:t xml:space="preserve">U.S. Department of </w:t>
      </w:r>
      <w:r w:rsidR="00E81B09" w:rsidRPr="00CB6129">
        <w:rPr>
          <w:rFonts w:eastAsia="Times New Roman" w:cs="Times New Roman"/>
          <w:szCs w:val="24"/>
          <w:bdr w:val="none" w:sz="0" w:space="0" w:color="auto" w:frame="1"/>
          <w:lang w:val="en-US" w:eastAsia="fr-FR"/>
        </w:rPr>
        <w:t>State’s annual human rights report on Cuba for an indication.</w:t>
      </w:r>
      <w:r w:rsidR="00AB2035" w:rsidRPr="00CB6129">
        <w:rPr>
          <w:rFonts w:eastAsia="Times New Roman" w:cs="Times New Roman"/>
          <w:szCs w:val="24"/>
          <w:bdr w:val="none" w:sz="0" w:space="0" w:color="auto" w:frame="1"/>
          <w:lang w:val="en-US" w:eastAsia="fr-FR"/>
        </w:rPr>
        <w:t xml:space="preserve"> </w:t>
      </w:r>
      <w:r w:rsidR="00E81B09" w:rsidRPr="00CB6129">
        <w:rPr>
          <w:rFonts w:eastAsia="Times New Roman" w:cs="Times New Roman"/>
          <w:szCs w:val="24"/>
          <w:bdr w:val="none" w:sz="0" w:space="0" w:color="auto" w:frame="1"/>
          <w:lang w:val="en-US" w:eastAsia="fr-FR"/>
        </w:rPr>
        <w:t xml:space="preserve">It notes that Cuba’s domestic laws require that prisoners be </w:t>
      </w:r>
      <w:r w:rsidRPr="00CB6129">
        <w:rPr>
          <w:rFonts w:eastAsia="Times New Roman" w:cs="Times New Roman"/>
          <w:szCs w:val="24"/>
          <w:bdr w:val="none" w:sz="0" w:space="0" w:color="auto" w:frame="1"/>
          <w:lang w:val="en-US" w:eastAsia="fr-FR"/>
        </w:rPr>
        <w:t>advise</w:t>
      </w:r>
      <w:r w:rsidR="00E81B09" w:rsidRPr="00CB6129">
        <w:rPr>
          <w:rFonts w:eastAsia="Times New Roman" w:cs="Times New Roman"/>
          <w:szCs w:val="24"/>
          <w:bdr w:val="none" w:sz="0" w:space="0" w:color="auto" w:frame="1"/>
          <w:lang w:val="en-US" w:eastAsia="fr-FR"/>
        </w:rPr>
        <w:t xml:space="preserve">d of </w:t>
      </w:r>
      <w:r w:rsidRPr="00CB6129">
        <w:rPr>
          <w:rFonts w:eastAsia="Times New Roman" w:cs="Times New Roman"/>
          <w:szCs w:val="24"/>
          <w:bdr w:val="none" w:sz="0" w:space="0" w:color="auto" w:frame="1"/>
          <w:lang w:val="en-US" w:eastAsia="fr-FR"/>
        </w:rPr>
        <w:t xml:space="preserve">the </w:t>
      </w:r>
      <w:r w:rsidR="00E81B09" w:rsidRPr="00CB6129">
        <w:rPr>
          <w:rFonts w:eastAsia="Times New Roman" w:cs="Times New Roman"/>
          <w:szCs w:val="24"/>
          <w:bdr w:val="none" w:sz="0" w:space="0" w:color="auto" w:frame="1"/>
          <w:lang w:val="en-US" w:eastAsia="fr-FR"/>
        </w:rPr>
        <w:t xml:space="preserve">charges against them and given access to legal help within a week of being </w:t>
      </w:r>
      <w:r w:rsidRPr="00CB6129">
        <w:rPr>
          <w:rFonts w:eastAsia="Times New Roman" w:cs="Times New Roman"/>
          <w:szCs w:val="24"/>
          <w:bdr w:val="none" w:sz="0" w:space="0" w:color="auto" w:frame="1"/>
          <w:lang w:val="en-US" w:eastAsia="fr-FR"/>
        </w:rPr>
        <w:t>detained</w:t>
      </w:r>
      <w:r w:rsidR="00E81B09" w:rsidRPr="00CB6129">
        <w:rPr>
          <w:rFonts w:eastAsia="Times New Roman" w:cs="Times New Roman"/>
          <w:szCs w:val="24"/>
          <w:bdr w:val="none" w:sz="0" w:space="0" w:color="auto" w:frame="1"/>
          <w:lang w:val="en-US" w:eastAsia="fr-FR"/>
        </w:rPr>
        <w:t xml:space="preserve">. The report has been critical of Cuba for failing to meet this deadline and keeping detainees waiting </w:t>
      </w:r>
      <w:r w:rsidR="00E81B09" w:rsidRPr="00CB6129">
        <w:rPr>
          <w:rFonts w:eastAsia="Times New Roman" w:cs="Times New Roman"/>
          <w:szCs w:val="24"/>
          <w:bdr w:val="none" w:sz="0" w:space="0" w:color="auto" w:frame="1"/>
          <w:lang w:val="en-US" w:eastAsia="fr-FR"/>
        </w:rPr>
        <w:lastRenderedPageBreak/>
        <w:t>for “weeks and sometimes months.”</w:t>
      </w:r>
      <w:r w:rsidR="00AB2035" w:rsidRPr="00CB6129">
        <w:rPr>
          <w:rStyle w:val="Appelnotedebasdep"/>
          <w:rFonts w:eastAsia="Times New Roman" w:cs="Times New Roman"/>
          <w:szCs w:val="24"/>
          <w:bdr w:val="none" w:sz="0" w:space="0" w:color="auto" w:frame="1"/>
          <w:lang w:val="en-US" w:eastAsia="fr-FR"/>
        </w:rPr>
        <w:footnoteReference w:id="53"/>
      </w:r>
      <w:r w:rsidR="000B2C21" w:rsidRPr="00CB6129">
        <w:rPr>
          <w:rFonts w:eastAsia="Times New Roman" w:cs="Times New Roman"/>
          <w:szCs w:val="24"/>
          <w:bdr w:val="none" w:sz="0" w:space="0" w:color="auto" w:frame="1"/>
          <w:lang w:val="en-US" w:eastAsia="fr-FR"/>
        </w:rPr>
        <w:t xml:space="preserve"> Yet this </w:t>
      </w:r>
      <w:r w:rsidR="00E81B09" w:rsidRPr="00CB6129">
        <w:rPr>
          <w:rFonts w:eastAsia="Times New Roman" w:cs="Times New Roman"/>
          <w:szCs w:val="24"/>
          <w:bdr w:val="none" w:sz="0" w:space="0" w:color="auto" w:frame="1"/>
          <w:lang w:val="en-US" w:eastAsia="fr-FR"/>
        </w:rPr>
        <w:t xml:space="preserve">delay is extremely brief </w:t>
      </w:r>
      <w:r w:rsidR="000B2C21" w:rsidRPr="00CB6129">
        <w:rPr>
          <w:rFonts w:eastAsia="Times New Roman" w:cs="Times New Roman"/>
          <w:szCs w:val="24"/>
          <w:bdr w:val="none" w:sz="0" w:space="0" w:color="auto" w:frame="1"/>
          <w:lang w:val="en-US" w:eastAsia="fr-FR"/>
        </w:rPr>
        <w:t xml:space="preserve">relative to </w:t>
      </w:r>
      <w:r w:rsidR="00AB2035" w:rsidRPr="00CB6129">
        <w:rPr>
          <w:rFonts w:eastAsia="Times New Roman" w:cs="Times New Roman"/>
          <w:szCs w:val="24"/>
          <w:bdr w:val="none" w:sz="0" w:space="0" w:color="auto" w:frame="1"/>
          <w:lang w:val="en-US" w:eastAsia="fr-FR"/>
        </w:rPr>
        <w:t xml:space="preserve">the </w:t>
      </w:r>
      <w:r w:rsidR="000B2C21" w:rsidRPr="00CB6129">
        <w:rPr>
          <w:rFonts w:eastAsia="Times New Roman" w:cs="Times New Roman"/>
          <w:szCs w:val="24"/>
          <w:bdr w:val="none" w:sz="0" w:space="0" w:color="auto" w:frame="1"/>
          <w:lang w:val="en-US" w:eastAsia="fr-FR"/>
        </w:rPr>
        <w:t xml:space="preserve">amount of time most of the </w:t>
      </w:r>
      <w:r w:rsidR="00AB2035" w:rsidRPr="00CB6129">
        <w:rPr>
          <w:rFonts w:eastAsia="Times New Roman" w:cs="Times New Roman"/>
          <w:szCs w:val="24"/>
          <w:bdr w:val="none" w:sz="0" w:space="0" w:color="auto" w:frame="1"/>
          <w:lang w:val="en-US" w:eastAsia="fr-FR"/>
        </w:rPr>
        <w:t>prisoners</w:t>
      </w:r>
      <w:r w:rsidR="000B2C21" w:rsidRPr="00CB6129">
        <w:rPr>
          <w:rFonts w:eastAsia="Times New Roman" w:cs="Times New Roman"/>
          <w:szCs w:val="24"/>
          <w:bdr w:val="none" w:sz="0" w:space="0" w:color="auto" w:frame="1"/>
          <w:lang w:val="en-US" w:eastAsia="fr-FR"/>
        </w:rPr>
        <w:t xml:space="preserve"> have awaited news </w:t>
      </w:r>
      <w:r w:rsidRPr="00CB6129">
        <w:rPr>
          <w:rFonts w:eastAsia="Times New Roman" w:cs="Times New Roman"/>
          <w:szCs w:val="24"/>
          <w:bdr w:val="none" w:sz="0" w:space="0" w:color="auto" w:frame="1"/>
          <w:lang w:val="en-US" w:eastAsia="fr-FR"/>
        </w:rPr>
        <w:t>of any</w:t>
      </w:r>
      <w:r w:rsidR="000B2C21" w:rsidRPr="00CB6129">
        <w:rPr>
          <w:rFonts w:eastAsia="Times New Roman" w:cs="Times New Roman"/>
          <w:szCs w:val="24"/>
          <w:bdr w:val="none" w:sz="0" w:space="0" w:color="auto" w:frame="1"/>
          <w:lang w:val="en-US" w:eastAsia="fr-FR"/>
        </w:rPr>
        <w:t xml:space="preserve"> U.S. charges against them, and their access to legal counsel under U.S. jurisdiction has been problematic.</w:t>
      </w:r>
      <w:r w:rsidRPr="00CB6129">
        <w:rPr>
          <w:rStyle w:val="Appelnotedebasdep"/>
          <w:rFonts w:eastAsia="Times New Roman" w:cs="Times New Roman"/>
          <w:szCs w:val="24"/>
          <w:bdr w:val="none" w:sz="0" w:space="0" w:color="auto" w:frame="1"/>
          <w:lang w:val="en-US" w:eastAsia="fr-FR"/>
        </w:rPr>
        <w:footnoteReference w:id="54"/>
      </w:r>
      <w:r w:rsidR="000B2C21" w:rsidRPr="00CB6129">
        <w:rPr>
          <w:rFonts w:eastAsia="Times New Roman" w:cs="Times New Roman"/>
          <w:szCs w:val="24"/>
          <w:bdr w:val="none" w:sz="0" w:space="0" w:color="auto" w:frame="1"/>
          <w:lang w:val="en-US" w:eastAsia="fr-FR"/>
        </w:rPr>
        <w:t xml:space="preserve"> </w:t>
      </w:r>
      <w:r w:rsidR="001F524C" w:rsidRPr="00CB6129">
        <w:rPr>
          <w:rFonts w:eastAsia="Times New Roman" w:cs="Times New Roman"/>
          <w:szCs w:val="24"/>
          <w:bdr w:val="none" w:sz="0" w:space="0" w:color="auto" w:frame="1"/>
          <w:lang w:val="en-US" w:eastAsia="fr-FR"/>
        </w:rPr>
        <w:t xml:space="preserve">In light of such factors, </w:t>
      </w:r>
      <w:r w:rsidR="000B2C21" w:rsidRPr="00CB6129">
        <w:rPr>
          <w:rFonts w:eastAsia="Times New Roman" w:cs="Times New Roman"/>
          <w:szCs w:val="24"/>
          <w:bdr w:val="none" w:sz="0" w:space="0" w:color="auto" w:frame="1"/>
          <w:lang w:val="en-US" w:eastAsia="fr-FR"/>
        </w:rPr>
        <w:t xml:space="preserve">it is </w:t>
      </w:r>
      <w:r w:rsidR="00BD2609" w:rsidRPr="00CB6129">
        <w:rPr>
          <w:rFonts w:eastAsia="Times New Roman" w:cs="Times New Roman"/>
          <w:szCs w:val="24"/>
          <w:bdr w:val="none" w:sz="0" w:space="0" w:color="auto" w:frame="1"/>
          <w:lang w:val="en-US" w:eastAsia="fr-FR"/>
        </w:rPr>
        <w:t xml:space="preserve">not out of the question that their </w:t>
      </w:r>
      <w:r w:rsidR="000B2C21" w:rsidRPr="00CB6129">
        <w:rPr>
          <w:rFonts w:eastAsia="Times New Roman" w:cs="Times New Roman"/>
          <w:szCs w:val="24"/>
          <w:bdr w:val="none" w:sz="0" w:space="0" w:color="auto" w:frame="1"/>
          <w:lang w:val="en-US" w:eastAsia="fr-FR"/>
        </w:rPr>
        <w:t>situation under</w:t>
      </w:r>
      <w:r w:rsidR="00AB2035" w:rsidRPr="00CB6129">
        <w:rPr>
          <w:rFonts w:eastAsia="Times New Roman" w:cs="Times New Roman"/>
          <w:szCs w:val="24"/>
          <w:bdr w:val="none" w:sz="0" w:space="0" w:color="auto" w:frame="1"/>
          <w:lang w:val="en-US" w:eastAsia="fr-FR"/>
        </w:rPr>
        <w:t xml:space="preserve"> Cuba</w:t>
      </w:r>
      <w:r w:rsidR="000B2C21" w:rsidRPr="00CB6129">
        <w:rPr>
          <w:rFonts w:eastAsia="Times New Roman" w:cs="Times New Roman"/>
          <w:szCs w:val="24"/>
          <w:bdr w:val="none" w:sz="0" w:space="0" w:color="auto" w:frame="1"/>
          <w:lang w:val="en-US" w:eastAsia="fr-FR"/>
        </w:rPr>
        <w:t xml:space="preserve">n jurisdiction </w:t>
      </w:r>
      <w:r w:rsidR="00BD2609" w:rsidRPr="00CB6129">
        <w:rPr>
          <w:rFonts w:eastAsia="Times New Roman" w:cs="Times New Roman"/>
          <w:szCs w:val="24"/>
          <w:bdr w:val="none" w:sz="0" w:space="0" w:color="auto" w:frame="1"/>
          <w:lang w:val="en-US" w:eastAsia="fr-FR"/>
        </w:rPr>
        <w:t xml:space="preserve">might </w:t>
      </w:r>
      <w:r w:rsidR="00AB2035" w:rsidRPr="00CB6129">
        <w:rPr>
          <w:rFonts w:eastAsia="Times New Roman" w:cs="Times New Roman"/>
          <w:szCs w:val="24"/>
          <w:bdr w:val="none" w:sz="0" w:space="0" w:color="auto" w:frame="1"/>
          <w:lang w:val="en-US" w:eastAsia="fr-FR"/>
        </w:rPr>
        <w:t>improve.</w:t>
      </w:r>
    </w:p>
    <w:p w:rsidR="00097829" w:rsidRPr="00CB6129" w:rsidRDefault="00BD2609" w:rsidP="0011563E">
      <w:pPr>
        <w:shd w:val="clear" w:color="auto" w:fill="FFFFFF"/>
        <w:spacing w:line="234" w:lineRule="atLeast"/>
        <w:rPr>
          <w:rFonts w:eastAsia="Times New Roman" w:cs="Times New Roman"/>
          <w:szCs w:val="24"/>
          <w:bdr w:val="none" w:sz="0" w:space="0" w:color="auto" w:frame="1"/>
          <w:lang w:val="en-US" w:eastAsia="fr-FR"/>
        </w:rPr>
      </w:pPr>
      <w:r w:rsidRPr="00CB6129">
        <w:rPr>
          <w:rFonts w:eastAsia="Times New Roman" w:cs="Times New Roman"/>
          <w:szCs w:val="24"/>
          <w:bdr w:val="none" w:sz="0" w:space="0" w:color="auto" w:frame="1"/>
          <w:lang w:val="en-US" w:eastAsia="fr-FR"/>
        </w:rPr>
        <w:tab/>
        <w:t xml:space="preserve">The United States has negotiated the transfer of </w:t>
      </w:r>
      <w:r w:rsidR="002112FD" w:rsidRPr="00CB6129">
        <w:rPr>
          <w:rFonts w:eastAsia="Times New Roman" w:cs="Times New Roman"/>
          <w:szCs w:val="24"/>
          <w:bdr w:val="none" w:sz="0" w:space="0" w:color="auto" w:frame="1"/>
          <w:lang w:val="en-US" w:eastAsia="fr-FR"/>
        </w:rPr>
        <w:t>detainee</w:t>
      </w:r>
      <w:r w:rsidRPr="00CB6129">
        <w:rPr>
          <w:rFonts w:eastAsia="Times New Roman" w:cs="Times New Roman"/>
          <w:szCs w:val="24"/>
          <w:bdr w:val="none" w:sz="0" w:space="0" w:color="auto" w:frame="1"/>
          <w:lang w:val="en-US" w:eastAsia="fr-FR"/>
        </w:rPr>
        <w:t xml:space="preserve">s at Guantanamo Bay to a number of other states </w:t>
      </w:r>
      <w:r w:rsidR="001F524C" w:rsidRPr="00CB6129">
        <w:rPr>
          <w:rFonts w:eastAsia="Times New Roman" w:cs="Times New Roman"/>
          <w:szCs w:val="24"/>
          <w:bdr w:val="none" w:sz="0" w:space="0" w:color="auto" w:frame="1"/>
          <w:lang w:val="en-US" w:eastAsia="fr-FR"/>
        </w:rPr>
        <w:t xml:space="preserve">– a </w:t>
      </w:r>
      <w:r w:rsidRPr="00CB6129">
        <w:rPr>
          <w:rFonts w:eastAsia="Times New Roman" w:cs="Times New Roman"/>
          <w:szCs w:val="24"/>
          <w:bdr w:val="none" w:sz="0" w:space="0" w:color="auto" w:frame="1"/>
          <w:lang w:val="en-US" w:eastAsia="fr-FR"/>
        </w:rPr>
        <w:t xml:space="preserve">process that, over time, has contributed to substantially reducing the </w:t>
      </w:r>
      <w:r w:rsidR="002112FD" w:rsidRPr="00CB6129">
        <w:rPr>
          <w:rFonts w:eastAsia="Times New Roman" w:cs="Times New Roman"/>
          <w:szCs w:val="24"/>
          <w:bdr w:val="none" w:sz="0" w:space="0" w:color="auto" w:frame="1"/>
          <w:lang w:val="en-US" w:eastAsia="fr-FR"/>
        </w:rPr>
        <w:t>prison’s population</w:t>
      </w:r>
      <w:r w:rsidRPr="00CB6129">
        <w:rPr>
          <w:rFonts w:eastAsia="Times New Roman" w:cs="Times New Roman"/>
          <w:szCs w:val="24"/>
          <w:bdr w:val="none" w:sz="0" w:space="0" w:color="auto" w:frame="1"/>
          <w:lang w:val="en-US" w:eastAsia="fr-FR"/>
        </w:rPr>
        <w:t>.</w:t>
      </w:r>
      <w:r w:rsidR="001F524C" w:rsidRPr="00CB6129">
        <w:rPr>
          <w:rFonts w:eastAsia="Times New Roman" w:cs="Times New Roman"/>
          <w:szCs w:val="24"/>
          <w:bdr w:val="none" w:sz="0" w:space="0" w:color="auto" w:frame="1"/>
          <w:lang w:val="en-US" w:eastAsia="fr-FR"/>
        </w:rPr>
        <w:t xml:space="preserve"> The United States has also criticized the human rights situations in some of the receiving nations, such as Saudi Arabia</w:t>
      </w:r>
      <w:r w:rsidR="00643B97" w:rsidRPr="00CB6129">
        <w:rPr>
          <w:rFonts w:eastAsia="Times New Roman" w:cs="Times New Roman"/>
          <w:szCs w:val="24"/>
          <w:bdr w:val="none" w:sz="0" w:space="0" w:color="auto" w:frame="1"/>
          <w:lang w:val="en-US" w:eastAsia="fr-FR"/>
        </w:rPr>
        <w:t>, where it reported pervasive violations.</w:t>
      </w:r>
      <w:r w:rsidR="00643B97" w:rsidRPr="00CB6129">
        <w:rPr>
          <w:rStyle w:val="Appelnotedebasdep"/>
          <w:rFonts w:eastAsia="Times New Roman" w:cs="Times New Roman"/>
          <w:szCs w:val="24"/>
          <w:bdr w:val="none" w:sz="0" w:space="0" w:color="auto" w:frame="1"/>
          <w:lang w:val="en-US" w:eastAsia="fr-FR"/>
        </w:rPr>
        <w:footnoteReference w:id="55"/>
      </w:r>
      <w:r w:rsidR="00643B97" w:rsidRPr="00CB6129">
        <w:rPr>
          <w:rFonts w:eastAsia="Times New Roman" w:cs="Times New Roman"/>
          <w:szCs w:val="24"/>
          <w:bdr w:val="none" w:sz="0" w:space="0" w:color="auto" w:frame="1"/>
          <w:lang w:val="en-US" w:eastAsia="fr-FR"/>
        </w:rPr>
        <w:t xml:space="preserve"> </w:t>
      </w:r>
      <w:r w:rsidR="0011563E" w:rsidRPr="00CB6129">
        <w:rPr>
          <w:rFonts w:eastAsia="Times New Roman" w:cs="Times New Roman"/>
          <w:szCs w:val="24"/>
          <w:bdr w:val="none" w:sz="0" w:space="0" w:color="auto" w:frame="1"/>
          <w:lang w:val="en-US" w:eastAsia="fr-FR"/>
        </w:rPr>
        <w:t>O</w:t>
      </w:r>
      <w:r w:rsidR="002B0A5D" w:rsidRPr="00CB6129">
        <w:rPr>
          <w:rFonts w:eastAsia="Times New Roman" w:cs="Times New Roman"/>
          <w:szCs w:val="24"/>
          <w:bdr w:val="none" w:sz="0" w:space="0" w:color="auto" w:frame="1"/>
          <w:lang w:val="en-US" w:eastAsia="fr-FR"/>
        </w:rPr>
        <w:t xml:space="preserve">ne may </w:t>
      </w:r>
      <w:r w:rsidR="0011563E" w:rsidRPr="00CB6129">
        <w:rPr>
          <w:rFonts w:eastAsia="Times New Roman" w:cs="Times New Roman"/>
          <w:szCs w:val="24"/>
          <w:bdr w:val="none" w:sz="0" w:space="0" w:color="auto" w:frame="1"/>
          <w:lang w:val="en-US" w:eastAsia="fr-FR"/>
        </w:rPr>
        <w:t xml:space="preserve">thus </w:t>
      </w:r>
      <w:r w:rsidR="002B0A5D" w:rsidRPr="00CB6129">
        <w:rPr>
          <w:rFonts w:eastAsia="Times New Roman" w:cs="Times New Roman"/>
          <w:szCs w:val="24"/>
          <w:bdr w:val="none" w:sz="0" w:space="0" w:color="auto" w:frame="1"/>
          <w:lang w:val="en-US" w:eastAsia="fr-FR"/>
        </w:rPr>
        <w:t>conclude that U.S. perceptions of</w:t>
      </w:r>
      <w:r w:rsidR="00643B97" w:rsidRPr="00CB6129">
        <w:rPr>
          <w:rFonts w:eastAsia="Times New Roman" w:cs="Times New Roman"/>
          <w:szCs w:val="24"/>
          <w:bdr w:val="none" w:sz="0" w:space="0" w:color="auto" w:frame="1"/>
          <w:lang w:val="en-US" w:eastAsia="fr-FR"/>
        </w:rPr>
        <w:t xml:space="preserve"> human rights problems </w:t>
      </w:r>
      <w:r w:rsidR="0011563E" w:rsidRPr="00CB6129">
        <w:rPr>
          <w:rFonts w:eastAsia="Times New Roman" w:cs="Times New Roman"/>
          <w:szCs w:val="24"/>
          <w:bdr w:val="none" w:sz="0" w:space="0" w:color="auto" w:frame="1"/>
          <w:lang w:val="en-US" w:eastAsia="fr-FR"/>
        </w:rPr>
        <w:t xml:space="preserve">do </w:t>
      </w:r>
      <w:r w:rsidR="002B0A5D" w:rsidRPr="00CB6129">
        <w:rPr>
          <w:rFonts w:eastAsia="Times New Roman" w:cs="Times New Roman"/>
          <w:szCs w:val="24"/>
          <w:bdr w:val="none" w:sz="0" w:space="0" w:color="auto" w:frame="1"/>
          <w:lang w:val="en-US" w:eastAsia="fr-FR"/>
        </w:rPr>
        <w:t xml:space="preserve">not disqualify </w:t>
      </w:r>
      <w:r w:rsidR="0011563E" w:rsidRPr="00CB6129">
        <w:rPr>
          <w:rFonts w:eastAsia="Times New Roman" w:cs="Times New Roman"/>
          <w:szCs w:val="24"/>
          <w:bdr w:val="none" w:sz="0" w:space="0" w:color="auto" w:frame="1"/>
          <w:lang w:val="en-US" w:eastAsia="fr-FR"/>
        </w:rPr>
        <w:t xml:space="preserve">a </w:t>
      </w:r>
      <w:r w:rsidR="002B0A5D" w:rsidRPr="00CB6129">
        <w:rPr>
          <w:rFonts w:eastAsia="Times New Roman" w:cs="Times New Roman"/>
          <w:szCs w:val="24"/>
          <w:bdr w:val="none" w:sz="0" w:space="0" w:color="auto" w:frame="1"/>
          <w:lang w:val="en-US" w:eastAsia="fr-FR"/>
        </w:rPr>
        <w:t xml:space="preserve">state from this process. This leaves open the possibility that the </w:t>
      </w:r>
      <w:r w:rsidR="00643B97" w:rsidRPr="00CB6129">
        <w:rPr>
          <w:rFonts w:eastAsia="Times New Roman" w:cs="Times New Roman"/>
          <w:szCs w:val="24"/>
          <w:bdr w:val="none" w:sz="0" w:space="0" w:color="auto" w:frame="1"/>
          <w:lang w:val="en-US" w:eastAsia="fr-FR"/>
        </w:rPr>
        <w:t xml:space="preserve">United States could end its involvement with the prison </w:t>
      </w:r>
      <w:r w:rsidR="002B0A5D" w:rsidRPr="00CB6129">
        <w:rPr>
          <w:rFonts w:eastAsia="Times New Roman" w:cs="Times New Roman"/>
          <w:szCs w:val="24"/>
          <w:bdr w:val="none" w:sz="0" w:space="0" w:color="auto" w:frame="1"/>
          <w:lang w:val="en-US" w:eastAsia="fr-FR"/>
        </w:rPr>
        <w:t>at Guantanamo Bay not by closing it but by shifting control of the territory to Cuba.</w:t>
      </w:r>
    </w:p>
    <w:p w:rsidR="0011563E" w:rsidRPr="00CB6129" w:rsidRDefault="0011563E" w:rsidP="0011563E">
      <w:pPr>
        <w:shd w:val="clear" w:color="auto" w:fill="FFFFFF"/>
        <w:spacing w:line="234" w:lineRule="atLeast"/>
        <w:rPr>
          <w:rFonts w:eastAsia="Times New Roman" w:cs="Times New Roman"/>
          <w:szCs w:val="24"/>
          <w:bdr w:val="none" w:sz="0" w:space="0" w:color="auto" w:frame="1"/>
          <w:lang w:val="en-US" w:eastAsia="fr-FR"/>
        </w:rPr>
      </w:pPr>
    </w:p>
    <w:p w:rsidR="0011563E" w:rsidRPr="00CB6129" w:rsidRDefault="0011563E" w:rsidP="0011563E">
      <w:pPr>
        <w:shd w:val="clear" w:color="auto" w:fill="FFFFFF"/>
        <w:spacing w:line="234" w:lineRule="atLeast"/>
        <w:rPr>
          <w:rFonts w:eastAsia="Times New Roman" w:cs="Times New Roman"/>
          <w:szCs w:val="24"/>
          <w:bdr w:val="none" w:sz="0" w:space="0" w:color="auto" w:frame="1"/>
          <w:lang w:val="en-US" w:eastAsia="fr-FR"/>
        </w:rPr>
      </w:pPr>
    </w:p>
    <w:p w:rsidR="00D95801" w:rsidRPr="00CB6129" w:rsidRDefault="00250600" w:rsidP="009D2A5C">
      <w:pPr>
        <w:rPr>
          <w:lang w:val="en-US"/>
        </w:rPr>
      </w:pPr>
      <w:r w:rsidRPr="00CB6129">
        <w:rPr>
          <w:lang w:val="en-US"/>
        </w:rPr>
        <w:t>Implications for Cuba</w:t>
      </w:r>
      <w:r w:rsidR="002B0A5D" w:rsidRPr="00CB6129">
        <w:rPr>
          <w:lang w:val="en-US"/>
        </w:rPr>
        <w:t xml:space="preserve"> of Recovering Control of Guantanamo Bay</w:t>
      </w:r>
    </w:p>
    <w:p w:rsidR="00F3148F" w:rsidRPr="00CB6129" w:rsidRDefault="00F3148F" w:rsidP="009D2A5C">
      <w:pPr>
        <w:rPr>
          <w:lang w:val="en-US"/>
        </w:rPr>
      </w:pPr>
    </w:p>
    <w:p w:rsidR="00B95D88" w:rsidRPr="00CB6129" w:rsidRDefault="00E339AC">
      <w:pPr>
        <w:rPr>
          <w:lang w:val="en-US"/>
        </w:rPr>
      </w:pPr>
      <w:r w:rsidRPr="00CB6129">
        <w:rPr>
          <w:lang w:val="en-US"/>
        </w:rPr>
        <w:tab/>
      </w:r>
      <w:r w:rsidR="002D158B" w:rsidRPr="00CB6129">
        <w:rPr>
          <w:lang w:val="en-US"/>
        </w:rPr>
        <w:t>Recovering control of</w:t>
      </w:r>
      <w:r w:rsidR="003778B0" w:rsidRPr="00CB6129">
        <w:rPr>
          <w:lang w:val="en-US"/>
        </w:rPr>
        <w:t xml:space="preserve"> a leased territory can have major </w:t>
      </w:r>
      <w:r w:rsidR="002D158B" w:rsidRPr="00CB6129">
        <w:rPr>
          <w:lang w:val="en-US"/>
        </w:rPr>
        <w:t xml:space="preserve">social, economic or other </w:t>
      </w:r>
      <w:r w:rsidR="00A57833" w:rsidRPr="00CB6129">
        <w:rPr>
          <w:lang w:val="en-US"/>
        </w:rPr>
        <w:t xml:space="preserve">implications for the </w:t>
      </w:r>
      <w:r w:rsidR="002D158B" w:rsidRPr="00CB6129">
        <w:rPr>
          <w:lang w:val="en-US"/>
        </w:rPr>
        <w:t xml:space="preserve">host </w:t>
      </w:r>
      <w:r w:rsidR="003778B0" w:rsidRPr="00CB6129">
        <w:rPr>
          <w:lang w:val="en-US"/>
        </w:rPr>
        <w:t xml:space="preserve">state. The extent of the </w:t>
      </w:r>
      <w:r w:rsidR="002D158B" w:rsidRPr="00CB6129">
        <w:rPr>
          <w:lang w:val="en-US"/>
        </w:rPr>
        <w:t>tenant state</w:t>
      </w:r>
      <w:r w:rsidR="003778B0" w:rsidRPr="00CB6129">
        <w:rPr>
          <w:lang w:val="en-US"/>
        </w:rPr>
        <w:t xml:space="preserve">’s rights </w:t>
      </w:r>
      <w:r w:rsidR="00A57833" w:rsidRPr="00CB6129">
        <w:rPr>
          <w:lang w:val="en-US"/>
        </w:rPr>
        <w:t>in the area</w:t>
      </w:r>
      <w:r w:rsidR="003778B0" w:rsidRPr="00CB6129">
        <w:rPr>
          <w:lang w:val="en-US"/>
        </w:rPr>
        <w:t xml:space="preserve"> and the</w:t>
      </w:r>
      <w:r w:rsidR="00B95D88" w:rsidRPr="00CB6129">
        <w:rPr>
          <w:lang w:val="en-US"/>
        </w:rPr>
        <w:t xml:space="preserve"> duration of their exercise c</w:t>
      </w:r>
      <w:r w:rsidR="002D158B" w:rsidRPr="00CB6129">
        <w:rPr>
          <w:lang w:val="en-US"/>
        </w:rPr>
        <w:t>an sometimes dramatically affect</w:t>
      </w:r>
      <w:r w:rsidR="003778B0" w:rsidRPr="00CB6129">
        <w:rPr>
          <w:lang w:val="en-US"/>
        </w:rPr>
        <w:t xml:space="preserve"> the territory’s condition at the time control is returned</w:t>
      </w:r>
      <w:r w:rsidR="002D158B" w:rsidRPr="00CB6129">
        <w:rPr>
          <w:lang w:val="en-US"/>
        </w:rPr>
        <w:t xml:space="preserve">. In the case of a </w:t>
      </w:r>
      <w:r w:rsidR="003778B0" w:rsidRPr="00CB6129">
        <w:rPr>
          <w:lang w:val="en-US"/>
        </w:rPr>
        <w:t xml:space="preserve">lengthy lease in which the </w:t>
      </w:r>
      <w:r w:rsidR="002D158B" w:rsidRPr="00CB6129">
        <w:rPr>
          <w:lang w:val="en-US"/>
        </w:rPr>
        <w:t>tenant stat</w:t>
      </w:r>
      <w:r w:rsidR="003778B0" w:rsidRPr="00CB6129">
        <w:rPr>
          <w:lang w:val="en-US"/>
        </w:rPr>
        <w:t>e has complete control</w:t>
      </w:r>
      <w:r w:rsidR="002D158B" w:rsidRPr="00CB6129">
        <w:rPr>
          <w:lang w:val="en-US"/>
        </w:rPr>
        <w:t xml:space="preserve"> – a </w:t>
      </w:r>
      <w:r w:rsidR="009A4663" w:rsidRPr="00CB6129">
        <w:rPr>
          <w:lang w:val="en-US"/>
        </w:rPr>
        <w:t xml:space="preserve">situation that applies to </w:t>
      </w:r>
      <w:r w:rsidR="002D158B" w:rsidRPr="00CB6129">
        <w:rPr>
          <w:lang w:val="en-US"/>
        </w:rPr>
        <w:t xml:space="preserve">Guantanamo Bay – the host state </w:t>
      </w:r>
      <w:r w:rsidR="003778B0" w:rsidRPr="00CB6129">
        <w:rPr>
          <w:lang w:val="en-US"/>
        </w:rPr>
        <w:t>may find it more practical</w:t>
      </w:r>
      <w:r w:rsidR="009A4663" w:rsidRPr="00CB6129">
        <w:rPr>
          <w:lang w:val="en-US"/>
        </w:rPr>
        <w:t>,</w:t>
      </w:r>
      <w:r w:rsidR="003778B0" w:rsidRPr="00CB6129">
        <w:rPr>
          <w:lang w:val="en-US"/>
        </w:rPr>
        <w:t xml:space="preserve"> </w:t>
      </w:r>
      <w:r w:rsidR="00B95D88" w:rsidRPr="00CB6129">
        <w:rPr>
          <w:lang w:val="en-US"/>
        </w:rPr>
        <w:t xml:space="preserve">or even </w:t>
      </w:r>
      <w:r w:rsidR="003778B0" w:rsidRPr="00CB6129">
        <w:rPr>
          <w:lang w:val="en-US"/>
        </w:rPr>
        <w:t>beneficial</w:t>
      </w:r>
      <w:r w:rsidR="009A4663" w:rsidRPr="00CB6129">
        <w:rPr>
          <w:lang w:val="en-US"/>
        </w:rPr>
        <w:t>,</w:t>
      </w:r>
      <w:r w:rsidR="003778B0" w:rsidRPr="00CB6129">
        <w:rPr>
          <w:lang w:val="en-US"/>
        </w:rPr>
        <w:t xml:space="preserve"> to accept the alterations </w:t>
      </w:r>
      <w:r w:rsidR="002D158B" w:rsidRPr="00CB6129">
        <w:rPr>
          <w:lang w:val="en-US"/>
        </w:rPr>
        <w:t>than to try to res</w:t>
      </w:r>
      <w:r w:rsidR="003778B0" w:rsidRPr="00CB6129">
        <w:rPr>
          <w:lang w:val="en-US"/>
        </w:rPr>
        <w:t xml:space="preserve">tore </w:t>
      </w:r>
      <w:r w:rsidR="00B95D88" w:rsidRPr="00CB6129">
        <w:rPr>
          <w:lang w:val="en-US"/>
        </w:rPr>
        <w:t xml:space="preserve">physical </w:t>
      </w:r>
      <w:r w:rsidR="002D158B" w:rsidRPr="00CB6129">
        <w:rPr>
          <w:lang w:val="en-US"/>
        </w:rPr>
        <w:t xml:space="preserve">aspects of </w:t>
      </w:r>
      <w:r w:rsidR="003778B0" w:rsidRPr="00CB6129">
        <w:rPr>
          <w:lang w:val="en-US"/>
        </w:rPr>
        <w:t>the ter</w:t>
      </w:r>
      <w:r w:rsidR="002D158B" w:rsidRPr="00CB6129">
        <w:rPr>
          <w:lang w:val="en-US"/>
        </w:rPr>
        <w:t xml:space="preserve">ritory to their pre-lease situation, or to assimilate the territory into the </w:t>
      </w:r>
      <w:r w:rsidR="00B95D88" w:rsidRPr="00CB6129">
        <w:rPr>
          <w:lang w:val="en-US"/>
        </w:rPr>
        <w:t xml:space="preserve">host state’s prevailing </w:t>
      </w:r>
      <w:r w:rsidR="002D158B" w:rsidRPr="00CB6129">
        <w:rPr>
          <w:lang w:val="en-US"/>
        </w:rPr>
        <w:t>social, economic and/or political situations</w:t>
      </w:r>
      <w:r w:rsidR="00B95D88" w:rsidRPr="00CB6129">
        <w:rPr>
          <w:lang w:val="en-US"/>
        </w:rPr>
        <w:t xml:space="preserve">. </w:t>
      </w:r>
    </w:p>
    <w:p w:rsidR="00F94611" w:rsidRDefault="00B95D88" w:rsidP="009A4663">
      <w:pPr>
        <w:rPr>
          <w:lang w:val="en-US"/>
        </w:rPr>
      </w:pPr>
      <w:r w:rsidRPr="00CB6129">
        <w:rPr>
          <w:lang w:val="en-US"/>
        </w:rPr>
        <w:tab/>
      </w:r>
      <w:r w:rsidR="005258C1" w:rsidRPr="00CB6129">
        <w:rPr>
          <w:lang w:val="en-US"/>
        </w:rPr>
        <w:t xml:space="preserve">The assumption of </w:t>
      </w:r>
      <w:r w:rsidR="00A57833" w:rsidRPr="00CB6129">
        <w:rPr>
          <w:lang w:val="en-US"/>
        </w:rPr>
        <w:t>c</w:t>
      </w:r>
      <w:r w:rsidRPr="00CB6129">
        <w:rPr>
          <w:lang w:val="en-US"/>
        </w:rPr>
        <w:t xml:space="preserve">ontrol </w:t>
      </w:r>
      <w:r w:rsidR="00A57833" w:rsidRPr="00CB6129">
        <w:rPr>
          <w:lang w:val="en-US"/>
        </w:rPr>
        <w:t xml:space="preserve">of Guantanamo Bay </w:t>
      </w:r>
      <w:r w:rsidR="00A33149" w:rsidRPr="00CB6129">
        <w:rPr>
          <w:lang w:val="en-US"/>
        </w:rPr>
        <w:t>would likely ha</w:t>
      </w:r>
      <w:r w:rsidRPr="00CB6129">
        <w:rPr>
          <w:lang w:val="en-US"/>
        </w:rPr>
        <w:t>ve an enormous impact on the econom</w:t>
      </w:r>
      <w:r w:rsidR="00AC350C" w:rsidRPr="00CB6129">
        <w:rPr>
          <w:lang w:val="en-US"/>
        </w:rPr>
        <w:t xml:space="preserve">ic development </w:t>
      </w:r>
      <w:r w:rsidRPr="00CB6129">
        <w:rPr>
          <w:lang w:val="en-US"/>
        </w:rPr>
        <w:t>of eastern Cuba</w:t>
      </w:r>
      <w:r w:rsidR="00A33149" w:rsidRPr="00CB6129">
        <w:rPr>
          <w:lang w:val="en-US"/>
        </w:rPr>
        <w:t>,</w:t>
      </w:r>
      <w:r w:rsidRPr="00CB6129">
        <w:rPr>
          <w:lang w:val="en-US"/>
        </w:rPr>
        <w:t xml:space="preserve"> and </w:t>
      </w:r>
      <w:r w:rsidR="00A33149" w:rsidRPr="00CB6129">
        <w:rPr>
          <w:lang w:val="en-US"/>
        </w:rPr>
        <w:t>a significant impact on the economy o</w:t>
      </w:r>
      <w:r w:rsidRPr="00CB6129">
        <w:rPr>
          <w:lang w:val="en-US"/>
        </w:rPr>
        <w:t xml:space="preserve">f </w:t>
      </w:r>
      <w:r w:rsidR="00A57833" w:rsidRPr="00CB6129">
        <w:rPr>
          <w:lang w:val="en-US"/>
        </w:rPr>
        <w:t xml:space="preserve">the country </w:t>
      </w:r>
      <w:r w:rsidRPr="00CB6129">
        <w:rPr>
          <w:lang w:val="en-US"/>
        </w:rPr>
        <w:t>more generally</w:t>
      </w:r>
      <w:r w:rsidR="009A4663" w:rsidRPr="00CB6129">
        <w:rPr>
          <w:lang w:val="en-US"/>
        </w:rPr>
        <w:t>. The ex</w:t>
      </w:r>
      <w:r w:rsidR="00A57833" w:rsidRPr="00CB6129">
        <w:rPr>
          <w:lang w:val="en-US"/>
        </w:rPr>
        <w:t xml:space="preserve">isting </w:t>
      </w:r>
      <w:r w:rsidR="00A33149" w:rsidRPr="00CB6129">
        <w:rPr>
          <w:lang w:val="en-US"/>
        </w:rPr>
        <w:t>deep</w:t>
      </w:r>
      <w:r w:rsidR="009A4663" w:rsidRPr="00CB6129">
        <w:rPr>
          <w:lang w:val="en-US"/>
        </w:rPr>
        <w:t>-</w:t>
      </w:r>
      <w:r w:rsidR="00A33149" w:rsidRPr="00CB6129">
        <w:rPr>
          <w:lang w:val="en-US"/>
        </w:rPr>
        <w:t xml:space="preserve">water port </w:t>
      </w:r>
      <w:r w:rsidR="00526571">
        <w:rPr>
          <w:lang w:val="en-US"/>
        </w:rPr>
        <w:t xml:space="preserve">there </w:t>
      </w:r>
      <w:r w:rsidR="009A4663" w:rsidRPr="00CB6129">
        <w:rPr>
          <w:lang w:val="en-US"/>
        </w:rPr>
        <w:t>would become</w:t>
      </w:r>
      <w:r w:rsidR="00A57833" w:rsidRPr="00CB6129">
        <w:rPr>
          <w:lang w:val="en-US"/>
        </w:rPr>
        <w:t xml:space="preserve"> available for use in Cuban trade,</w:t>
      </w:r>
      <w:r w:rsidR="009A4663" w:rsidRPr="00CB6129">
        <w:rPr>
          <w:lang w:val="en-US"/>
        </w:rPr>
        <w:t xml:space="preserve"> which c</w:t>
      </w:r>
      <w:r w:rsidR="00AC350C" w:rsidRPr="00CB6129">
        <w:rPr>
          <w:lang w:val="en-US"/>
        </w:rPr>
        <w:t xml:space="preserve">an </w:t>
      </w:r>
      <w:r w:rsidR="00B64D87" w:rsidRPr="00CB6129">
        <w:rPr>
          <w:lang w:val="en-US"/>
        </w:rPr>
        <w:t xml:space="preserve">influence the competitiveness and volume of trade between Cuba and Latin America </w:t>
      </w:r>
      <w:r w:rsidR="009C30B0" w:rsidRPr="00CB6129">
        <w:rPr>
          <w:lang w:val="en-US"/>
        </w:rPr>
        <w:t>a</w:t>
      </w:r>
      <w:r w:rsidR="00526571">
        <w:rPr>
          <w:lang w:val="en-US"/>
        </w:rPr>
        <w:t>nd also</w:t>
      </w:r>
      <w:r w:rsidR="009C30B0" w:rsidRPr="00CB6129">
        <w:rPr>
          <w:lang w:val="en-US"/>
        </w:rPr>
        <w:t xml:space="preserve"> </w:t>
      </w:r>
      <w:r w:rsidR="00B64D87" w:rsidRPr="00CB6129">
        <w:rPr>
          <w:lang w:val="en-US"/>
        </w:rPr>
        <w:t>beyond</w:t>
      </w:r>
      <w:r w:rsidR="00AC350C" w:rsidRPr="00CB6129">
        <w:rPr>
          <w:lang w:val="en-US"/>
        </w:rPr>
        <w:t xml:space="preserve">, considering that </w:t>
      </w:r>
      <w:r w:rsidR="00B64D87" w:rsidRPr="00CB6129">
        <w:rPr>
          <w:lang w:val="en-US"/>
        </w:rPr>
        <w:t>Guantanamo Bay is closer t</w:t>
      </w:r>
      <w:r w:rsidR="00AC350C" w:rsidRPr="00CB6129">
        <w:rPr>
          <w:lang w:val="en-US"/>
        </w:rPr>
        <w:t>han Cuba’s other main ports t</w:t>
      </w:r>
      <w:r w:rsidR="00B64D87" w:rsidRPr="00CB6129">
        <w:rPr>
          <w:lang w:val="en-US"/>
        </w:rPr>
        <w:t>o the Panama Canal</w:t>
      </w:r>
      <w:r w:rsidR="00F40DCA" w:rsidRPr="00CB6129">
        <w:rPr>
          <w:lang w:val="en-US"/>
        </w:rPr>
        <w:t xml:space="preserve">. </w:t>
      </w:r>
      <w:r w:rsidR="00F94611">
        <w:rPr>
          <w:lang w:val="en-US"/>
        </w:rPr>
        <w:t>Ports are known to spur economic development in the areas surrounding them a</w:t>
      </w:r>
      <w:r w:rsidR="00526571">
        <w:rPr>
          <w:lang w:val="en-US"/>
        </w:rPr>
        <w:t>nd</w:t>
      </w:r>
      <w:r w:rsidR="00F94611">
        <w:rPr>
          <w:lang w:val="en-US"/>
        </w:rPr>
        <w:t xml:space="preserve"> along transportation corridors to which they are linked.</w:t>
      </w:r>
      <w:r w:rsidR="00526571">
        <w:rPr>
          <w:rStyle w:val="Appelnotedebasdep"/>
          <w:lang w:val="en-US"/>
        </w:rPr>
        <w:footnoteReference w:id="56"/>
      </w:r>
      <w:r w:rsidR="00F94611">
        <w:rPr>
          <w:lang w:val="en-US"/>
        </w:rPr>
        <w:t xml:space="preserve"> </w:t>
      </w:r>
      <w:r w:rsidR="00EC58EE">
        <w:rPr>
          <w:lang w:val="en-US"/>
        </w:rPr>
        <w:t>Among the broader impact</w:t>
      </w:r>
      <w:r w:rsidR="00B776C9">
        <w:rPr>
          <w:lang w:val="en-US"/>
        </w:rPr>
        <w:t>,</w:t>
      </w:r>
      <w:r w:rsidR="00EC58EE">
        <w:rPr>
          <w:lang w:val="en-US"/>
        </w:rPr>
        <w:t xml:space="preserve"> a port “enables foreign firms </w:t>
      </w:r>
      <w:r w:rsidR="00EC58EE" w:rsidRPr="00EC58EE">
        <w:rPr>
          <w:rFonts w:cs="Times New Roman"/>
          <w:color w:val="000000"/>
          <w:shd w:val="clear" w:color="auto" w:fill="FFFFFF"/>
          <w:lang w:val="en-US"/>
        </w:rPr>
        <w:t>to better access a national economy and thus compete with national firms, with some sectors being put out of business. However, the benefits of having better access to foreign markets and cheaper goods usually far exceeds the risk of having inefficient national firms being undermined.</w:t>
      </w:r>
      <w:r w:rsidR="00EC58EE">
        <w:rPr>
          <w:rFonts w:cs="Times New Roman"/>
          <w:color w:val="000000"/>
          <w:shd w:val="clear" w:color="auto" w:fill="FFFFFF"/>
          <w:lang w:val="en-US"/>
        </w:rPr>
        <w:t>”</w:t>
      </w:r>
      <w:r w:rsidR="00EC58EE">
        <w:rPr>
          <w:rStyle w:val="Appelnotedebasdep"/>
          <w:rFonts w:cs="Times New Roman"/>
          <w:color w:val="000000"/>
          <w:shd w:val="clear" w:color="auto" w:fill="FFFFFF"/>
          <w:lang w:val="en-US"/>
        </w:rPr>
        <w:footnoteReference w:id="57"/>
      </w:r>
    </w:p>
    <w:p w:rsidR="009C30B0" w:rsidRPr="00CB6129" w:rsidRDefault="00B776C9" w:rsidP="009A4663">
      <w:pPr>
        <w:rPr>
          <w:lang w:val="en-US"/>
        </w:rPr>
      </w:pPr>
      <w:r>
        <w:rPr>
          <w:lang w:val="en-US"/>
        </w:rPr>
        <w:tab/>
      </w:r>
      <w:r w:rsidR="00AC350C" w:rsidRPr="00CB6129">
        <w:rPr>
          <w:lang w:val="en-US"/>
        </w:rPr>
        <w:t xml:space="preserve">The </w:t>
      </w:r>
      <w:r w:rsidR="00A57833" w:rsidRPr="00CB6129">
        <w:rPr>
          <w:lang w:val="en-US"/>
        </w:rPr>
        <w:t xml:space="preserve">infrastructure that the United States </w:t>
      </w:r>
      <w:r w:rsidR="00B64D87" w:rsidRPr="00CB6129">
        <w:rPr>
          <w:lang w:val="en-US"/>
        </w:rPr>
        <w:t xml:space="preserve">has developed </w:t>
      </w:r>
      <w:r w:rsidR="00AC350C" w:rsidRPr="00CB6129">
        <w:rPr>
          <w:lang w:val="en-US"/>
        </w:rPr>
        <w:t xml:space="preserve">over more than a century at Guantanamo Bay, including a small </w:t>
      </w:r>
      <w:r w:rsidR="00A57833" w:rsidRPr="00CB6129">
        <w:rPr>
          <w:lang w:val="en-US"/>
        </w:rPr>
        <w:t>airport</w:t>
      </w:r>
      <w:r w:rsidR="00AC350C" w:rsidRPr="00CB6129">
        <w:rPr>
          <w:lang w:val="en-US"/>
        </w:rPr>
        <w:t xml:space="preserve"> and other facilities, </w:t>
      </w:r>
      <w:r w:rsidR="00A51F8D">
        <w:rPr>
          <w:lang w:val="en-US"/>
        </w:rPr>
        <w:t>may be</w:t>
      </w:r>
      <w:r w:rsidR="00AC350C" w:rsidRPr="00CB6129">
        <w:rPr>
          <w:lang w:val="en-US"/>
        </w:rPr>
        <w:t xml:space="preserve"> </w:t>
      </w:r>
      <w:r w:rsidR="00A51F8D">
        <w:rPr>
          <w:lang w:val="en-US"/>
        </w:rPr>
        <w:t xml:space="preserve">additional contributors </w:t>
      </w:r>
      <w:r w:rsidR="00AC350C" w:rsidRPr="00CB6129">
        <w:rPr>
          <w:lang w:val="en-US"/>
        </w:rPr>
        <w:t>to the overall economic and social development of the area</w:t>
      </w:r>
      <w:r w:rsidR="00F40DCA" w:rsidRPr="00CB6129">
        <w:rPr>
          <w:lang w:val="en-US"/>
        </w:rPr>
        <w:t>. The po</w:t>
      </w:r>
      <w:r w:rsidR="009C30B0" w:rsidRPr="00CB6129">
        <w:rPr>
          <w:lang w:val="en-US"/>
        </w:rPr>
        <w:t>tential for increased economic activity</w:t>
      </w:r>
      <w:r w:rsidR="00526571">
        <w:rPr>
          <w:lang w:val="en-US"/>
        </w:rPr>
        <w:t xml:space="preserve"> and </w:t>
      </w:r>
      <w:r w:rsidR="00A51F8D">
        <w:rPr>
          <w:lang w:val="en-US"/>
        </w:rPr>
        <w:t xml:space="preserve">job growth could </w:t>
      </w:r>
      <w:r w:rsidR="00526571">
        <w:rPr>
          <w:lang w:val="en-US"/>
        </w:rPr>
        <w:t xml:space="preserve">be sufficient to </w:t>
      </w:r>
      <w:r w:rsidR="00F40DCA" w:rsidRPr="00CB6129">
        <w:rPr>
          <w:lang w:val="en-US"/>
        </w:rPr>
        <w:t xml:space="preserve">generate new population flows toward eastern Cuba. Such prospects could </w:t>
      </w:r>
      <w:r w:rsidR="009C30B0" w:rsidRPr="00CB6129">
        <w:rPr>
          <w:lang w:val="en-US"/>
        </w:rPr>
        <w:t xml:space="preserve">justify a reorientation of Cuban priorities </w:t>
      </w:r>
      <w:r w:rsidR="00EA542F">
        <w:rPr>
          <w:lang w:val="en-US"/>
        </w:rPr>
        <w:t>in favor of</w:t>
      </w:r>
      <w:r w:rsidR="009C30B0" w:rsidRPr="00CB6129">
        <w:rPr>
          <w:lang w:val="en-US"/>
        </w:rPr>
        <w:t xml:space="preserve"> </w:t>
      </w:r>
      <w:r w:rsidR="005258C1" w:rsidRPr="00CB6129">
        <w:rPr>
          <w:lang w:val="en-US"/>
        </w:rPr>
        <w:lastRenderedPageBreak/>
        <w:t>enhanc</w:t>
      </w:r>
      <w:r w:rsidR="009C30B0" w:rsidRPr="00CB6129">
        <w:rPr>
          <w:lang w:val="en-US"/>
        </w:rPr>
        <w:t>ing transportation and communications links between the main population centers and the eastern</w:t>
      </w:r>
      <w:r w:rsidR="00F40DCA" w:rsidRPr="00CB6129">
        <w:rPr>
          <w:lang w:val="en-US"/>
        </w:rPr>
        <w:t xml:space="preserve"> part of the island.</w:t>
      </w:r>
    </w:p>
    <w:p w:rsidR="001818C3" w:rsidRDefault="009C30B0" w:rsidP="00B95D88">
      <w:pPr>
        <w:rPr>
          <w:lang w:val="en-US"/>
        </w:rPr>
      </w:pPr>
      <w:r w:rsidRPr="00CB6129">
        <w:rPr>
          <w:lang w:val="en-US"/>
        </w:rPr>
        <w:tab/>
      </w:r>
      <w:r w:rsidR="009A4663" w:rsidRPr="00CB6129">
        <w:rPr>
          <w:lang w:val="en-US"/>
        </w:rPr>
        <w:t>At present, there is no indication from Cuba</w:t>
      </w:r>
      <w:r w:rsidR="00B20B09" w:rsidRPr="00CB6129">
        <w:rPr>
          <w:lang w:val="en-US"/>
        </w:rPr>
        <w:t>n</w:t>
      </w:r>
      <w:r w:rsidR="009A4663" w:rsidRPr="00CB6129">
        <w:rPr>
          <w:lang w:val="en-US"/>
        </w:rPr>
        <w:t xml:space="preserve"> economic plans </w:t>
      </w:r>
      <w:r w:rsidR="00B20B09" w:rsidRPr="00CB6129">
        <w:rPr>
          <w:lang w:val="en-US"/>
        </w:rPr>
        <w:t xml:space="preserve">or other </w:t>
      </w:r>
      <w:r w:rsidR="00A51F8D">
        <w:rPr>
          <w:lang w:val="en-US"/>
        </w:rPr>
        <w:t xml:space="preserve">available </w:t>
      </w:r>
      <w:r w:rsidR="00B20B09" w:rsidRPr="00CB6129">
        <w:rPr>
          <w:lang w:val="en-US"/>
        </w:rPr>
        <w:t xml:space="preserve">sources of information </w:t>
      </w:r>
      <w:r w:rsidR="009A4663" w:rsidRPr="00CB6129">
        <w:rPr>
          <w:lang w:val="en-US"/>
        </w:rPr>
        <w:t xml:space="preserve">that </w:t>
      </w:r>
      <w:r w:rsidRPr="00CB6129">
        <w:rPr>
          <w:lang w:val="en-US"/>
        </w:rPr>
        <w:t xml:space="preserve">a transfer of control of Guantanamo Bay is being anticipated. </w:t>
      </w:r>
      <w:r w:rsidR="00A51F8D">
        <w:rPr>
          <w:lang w:val="en-US"/>
        </w:rPr>
        <w:t>Cuba’s</w:t>
      </w:r>
      <w:r w:rsidR="009A4663" w:rsidRPr="00CB6129">
        <w:rPr>
          <w:lang w:val="en-US"/>
        </w:rPr>
        <w:t xml:space="preserve"> demand </w:t>
      </w:r>
      <w:r w:rsidR="00A51F8D">
        <w:rPr>
          <w:lang w:val="en-US"/>
        </w:rPr>
        <w:t xml:space="preserve">for control </w:t>
      </w:r>
      <w:r w:rsidR="009A4663" w:rsidRPr="00CB6129">
        <w:rPr>
          <w:lang w:val="en-US"/>
        </w:rPr>
        <w:t xml:space="preserve">may be mainly a political one at this point, </w:t>
      </w:r>
      <w:r w:rsidR="005258C1" w:rsidRPr="00CB6129">
        <w:rPr>
          <w:lang w:val="en-US"/>
        </w:rPr>
        <w:t xml:space="preserve">although </w:t>
      </w:r>
      <w:r w:rsidRPr="00CB6129">
        <w:rPr>
          <w:lang w:val="en-US"/>
        </w:rPr>
        <w:t xml:space="preserve">the efforts to broaden bilateral relations toward the level of “full normalization” </w:t>
      </w:r>
      <w:r w:rsidR="00A51F8D">
        <w:rPr>
          <w:lang w:val="en-US"/>
        </w:rPr>
        <w:t>create conditions that can make it</w:t>
      </w:r>
      <w:r w:rsidRPr="00CB6129">
        <w:rPr>
          <w:lang w:val="en-US"/>
        </w:rPr>
        <w:t xml:space="preserve"> a realistic </w:t>
      </w:r>
      <w:r w:rsidR="009A4663" w:rsidRPr="00CB6129">
        <w:rPr>
          <w:lang w:val="en-US"/>
        </w:rPr>
        <w:t>possibility</w:t>
      </w:r>
      <w:r w:rsidR="00A51F8D">
        <w:rPr>
          <w:lang w:val="en-US"/>
        </w:rPr>
        <w:t xml:space="preserve">. Even if it is not a near-term probability, political opportunities can emerge at any time that alter the likelihood of the United States acting to satisfy this demand. Thus, </w:t>
      </w:r>
      <w:r w:rsidR="00B20B09" w:rsidRPr="00CB6129">
        <w:rPr>
          <w:lang w:val="en-US"/>
        </w:rPr>
        <w:t>i</w:t>
      </w:r>
      <w:r w:rsidR="005258C1" w:rsidRPr="00CB6129">
        <w:rPr>
          <w:lang w:val="en-US"/>
        </w:rPr>
        <w:t xml:space="preserve">t could be beneficial for Cuba </w:t>
      </w:r>
      <w:r w:rsidR="001818C3">
        <w:rPr>
          <w:lang w:val="en-US"/>
        </w:rPr>
        <w:t xml:space="preserve">to make </w:t>
      </w:r>
      <w:r w:rsidR="005258C1" w:rsidRPr="00CB6129">
        <w:rPr>
          <w:lang w:val="en-US"/>
        </w:rPr>
        <w:t xml:space="preserve">contingency preparations in the event that such a transfer does take place. </w:t>
      </w:r>
      <w:r w:rsidR="001818C3">
        <w:rPr>
          <w:lang w:val="en-US"/>
        </w:rPr>
        <w:t xml:space="preserve">A readiness to assume control </w:t>
      </w:r>
      <w:r w:rsidR="00EA542F">
        <w:rPr>
          <w:lang w:val="en-US"/>
        </w:rPr>
        <w:t xml:space="preserve">of Guantanamo Bay </w:t>
      </w:r>
      <w:r w:rsidR="001818C3">
        <w:rPr>
          <w:lang w:val="en-US"/>
        </w:rPr>
        <w:t>operationally</w:t>
      </w:r>
      <w:r w:rsidR="00EA542F">
        <w:rPr>
          <w:lang w:val="en-US"/>
        </w:rPr>
        <w:t xml:space="preserve"> as well as </w:t>
      </w:r>
      <w:bookmarkStart w:id="0" w:name="_GoBack"/>
      <w:bookmarkEnd w:id="0"/>
      <w:r w:rsidR="001818C3">
        <w:rPr>
          <w:lang w:val="en-US"/>
        </w:rPr>
        <w:t>politically can</w:t>
      </w:r>
      <w:r w:rsidR="00B20B09" w:rsidRPr="00CB6129">
        <w:rPr>
          <w:lang w:val="en-US"/>
        </w:rPr>
        <w:t xml:space="preserve"> shorten the period between </w:t>
      </w:r>
      <w:r w:rsidR="001818C3">
        <w:rPr>
          <w:lang w:val="en-US"/>
        </w:rPr>
        <w:t>the</w:t>
      </w:r>
      <w:r w:rsidR="00B20B09" w:rsidRPr="00CB6129">
        <w:rPr>
          <w:lang w:val="en-US"/>
        </w:rPr>
        <w:t xml:space="preserve"> handover and the time necessary for Cuba to </w:t>
      </w:r>
      <w:r w:rsidR="001818C3">
        <w:rPr>
          <w:lang w:val="en-US"/>
        </w:rPr>
        <w:t>realize the</w:t>
      </w:r>
      <w:r w:rsidR="00B20B09" w:rsidRPr="00CB6129">
        <w:rPr>
          <w:lang w:val="en-US"/>
        </w:rPr>
        <w:t xml:space="preserve"> economic</w:t>
      </w:r>
      <w:r w:rsidR="001818C3">
        <w:rPr>
          <w:lang w:val="en-US"/>
        </w:rPr>
        <w:t xml:space="preserve"> and other gains that would come from it.</w:t>
      </w:r>
    </w:p>
    <w:sectPr w:rsidR="001818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06" w:rsidRDefault="00344906" w:rsidP="00B50F79">
      <w:r>
        <w:separator/>
      </w:r>
    </w:p>
  </w:endnote>
  <w:endnote w:type="continuationSeparator" w:id="0">
    <w:p w:rsidR="00344906" w:rsidRDefault="00344906" w:rsidP="00B5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ll-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06" w:rsidRDefault="00344906" w:rsidP="00B50F79">
      <w:r>
        <w:separator/>
      </w:r>
    </w:p>
  </w:footnote>
  <w:footnote w:type="continuationSeparator" w:id="0">
    <w:p w:rsidR="00344906" w:rsidRDefault="00344906" w:rsidP="00B50F79">
      <w:r>
        <w:continuationSeparator/>
      </w:r>
    </w:p>
  </w:footnote>
  <w:footnote w:id="1">
    <w:p w:rsidR="00B776C9" w:rsidRPr="00CB6129" w:rsidRDefault="00B776C9">
      <w:pPr>
        <w:pStyle w:val="Notedebasdepage"/>
        <w:rPr>
          <w:lang w:val="en-US"/>
        </w:rPr>
      </w:pPr>
      <w:r w:rsidRPr="00CB6129">
        <w:rPr>
          <w:rStyle w:val="Appelnotedebasdep"/>
        </w:rPr>
        <w:footnoteRef/>
      </w:r>
      <w:r w:rsidRPr="00CB6129">
        <w:rPr>
          <w:lang w:val="en-US"/>
        </w:rPr>
        <w:t xml:space="preserve"> This term is often used by U.S. officials, </w:t>
      </w:r>
      <w:r w:rsidRPr="00CB6129">
        <w:rPr>
          <w:i/>
          <w:lang w:val="en-US"/>
        </w:rPr>
        <w:t>e.g</w:t>
      </w:r>
      <w:r w:rsidRPr="00CB6129">
        <w:rPr>
          <w:lang w:val="en-US"/>
        </w:rPr>
        <w:t xml:space="preserve">., “we have begun a process of full normalization” (remarks by Secretary of State John Kerry, 20 July 2015, http://www.state.gov/secretary/remarks/2015/07/245094.htm, accessed 17 July 2016). There is no international standard for “full normalization” but it is understood to refer to comprehensive relations. When the United States and Vietnam established “permanent normal trade relations” in 2006, Vietnam described this as a “full normalization of relations” that would “establish a sustainable foundation for </w:t>
      </w:r>
      <w:r w:rsidRPr="00CB6129">
        <w:rPr>
          <w:rFonts w:cs="Times New Roman"/>
          <w:lang w:val="en-US"/>
        </w:rPr>
        <w:t>the development of bilateral relations in all fields, particularly economic, trade and investment” (Embassy of the Socialist Republic of Vietnam in the United States of America, “PNTR Legislation Marks Full Normalization of Relations: FM Spokesman,” press release, 21 December 2006)</w:t>
      </w:r>
      <w:r w:rsidRPr="00CB6129">
        <w:rPr>
          <w:lang w:val="en-US"/>
        </w:rPr>
        <w:t xml:space="preserve">. </w:t>
      </w:r>
    </w:p>
  </w:footnote>
  <w:footnote w:id="2">
    <w:p w:rsidR="00B776C9" w:rsidRPr="00CB6129" w:rsidRDefault="00B776C9" w:rsidP="00357DFA">
      <w:pPr>
        <w:pStyle w:val="Notedebasdepage"/>
        <w:rPr>
          <w:lang w:val="en-US"/>
        </w:rPr>
      </w:pPr>
      <w:r w:rsidRPr="00CB6129">
        <w:rPr>
          <w:rStyle w:val="Appelnotedebasdep"/>
        </w:rPr>
        <w:footnoteRef/>
      </w:r>
      <w:r w:rsidRPr="00CB6129">
        <w:rPr>
          <w:rStyle w:val="Appelnotedebasdep"/>
        </w:rPr>
        <w:footnoteRef/>
      </w:r>
      <w:r w:rsidRPr="00CB6129">
        <w:rPr>
          <w:lang w:val="en-US"/>
        </w:rPr>
        <w:t xml:space="preserve"> The White House. “Charting a New Course on Cuba,” https://www.whitehouse.gov/issues/foreign-policy/cuba, accessed 16 July 2016; </w:t>
      </w:r>
      <w:r w:rsidRPr="00CB6129">
        <w:rPr>
          <w:i/>
          <w:lang w:val="en-US"/>
        </w:rPr>
        <w:t>Granma</w:t>
      </w:r>
      <w:r w:rsidRPr="00CB6129">
        <w:rPr>
          <w:lang w:val="en-US"/>
        </w:rPr>
        <w:t>, “</w:t>
      </w:r>
      <w:proofErr w:type="spellStart"/>
      <w:r w:rsidRPr="00CB6129">
        <w:rPr>
          <w:lang w:val="en-US"/>
        </w:rPr>
        <w:t>Ratificamos</w:t>
      </w:r>
      <w:proofErr w:type="spellEnd"/>
      <w:r w:rsidRPr="00CB6129">
        <w:rPr>
          <w:lang w:val="en-US"/>
        </w:rPr>
        <w:t xml:space="preserve"> la </w:t>
      </w:r>
      <w:proofErr w:type="spellStart"/>
      <w:r w:rsidRPr="00CB6129">
        <w:rPr>
          <w:lang w:val="en-US"/>
        </w:rPr>
        <w:t>voluntad</w:t>
      </w:r>
      <w:proofErr w:type="spellEnd"/>
      <w:r w:rsidRPr="00CB6129">
        <w:rPr>
          <w:lang w:val="en-US"/>
        </w:rPr>
        <w:t xml:space="preserve"> de Cuba de </w:t>
      </w:r>
      <w:proofErr w:type="spellStart"/>
      <w:r w:rsidRPr="00CB6129">
        <w:rPr>
          <w:lang w:val="en-US"/>
        </w:rPr>
        <w:t>avancar</w:t>
      </w:r>
      <w:proofErr w:type="spellEnd"/>
      <w:r w:rsidRPr="00CB6129">
        <w:rPr>
          <w:lang w:val="en-US"/>
        </w:rPr>
        <w:t xml:space="preserve"> </w:t>
      </w:r>
      <w:proofErr w:type="spellStart"/>
      <w:r w:rsidRPr="00CB6129">
        <w:rPr>
          <w:lang w:val="en-US"/>
        </w:rPr>
        <w:t>hacia</w:t>
      </w:r>
      <w:proofErr w:type="spellEnd"/>
      <w:r w:rsidRPr="00CB6129">
        <w:rPr>
          <w:lang w:val="en-US"/>
        </w:rPr>
        <w:t xml:space="preserve"> la </w:t>
      </w:r>
      <w:proofErr w:type="spellStart"/>
      <w:r w:rsidRPr="00CB6129">
        <w:rPr>
          <w:lang w:val="en-US"/>
        </w:rPr>
        <w:t>normalizaci</w:t>
      </w:r>
      <w:r w:rsidRPr="00CB6129">
        <w:rPr>
          <w:rFonts w:cs="Times New Roman"/>
          <w:lang w:val="en-US"/>
        </w:rPr>
        <w:t>ó</w:t>
      </w:r>
      <w:r w:rsidRPr="00CB6129">
        <w:rPr>
          <w:lang w:val="en-US"/>
        </w:rPr>
        <w:t>n</w:t>
      </w:r>
      <w:proofErr w:type="spellEnd"/>
      <w:r w:rsidRPr="00CB6129">
        <w:rPr>
          <w:lang w:val="en-US"/>
        </w:rPr>
        <w:t xml:space="preserve"> de las </w:t>
      </w:r>
      <w:proofErr w:type="spellStart"/>
      <w:r w:rsidRPr="00CB6129">
        <w:rPr>
          <w:lang w:val="en-US"/>
        </w:rPr>
        <w:t>relaciones</w:t>
      </w:r>
      <w:proofErr w:type="spellEnd"/>
      <w:r w:rsidRPr="00CB6129">
        <w:rPr>
          <w:lang w:val="en-US"/>
        </w:rPr>
        <w:t xml:space="preserve"> con </w:t>
      </w:r>
      <w:proofErr w:type="spellStart"/>
      <w:r w:rsidRPr="00CB6129">
        <w:rPr>
          <w:lang w:val="en-US"/>
        </w:rPr>
        <w:t>los</w:t>
      </w:r>
      <w:proofErr w:type="spellEnd"/>
      <w:r w:rsidRPr="00CB6129">
        <w:rPr>
          <w:lang w:val="en-US"/>
        </w:rPr>
        <w:t xml:space="preserve"> </w:t>
      </w:r>
      <w:proofErr w:type="spellStart"/>
      <w:r w:rsidRPr="00CB6129">
        <w:rPr>
          <w:lang w:val="en-US"/>
        </w:rPr>
        <w:t>Estados</w:t>
      </w:r>
      <w:proofErr w:type="spellEnd"/>
      <w:r w:rsidRPr="00CB6129">
        <w:rPr>
          <w:lang w:val="en-US"/>
        </w:rPr>
        <w:t xml:space="preserve"> </w:t>
      </w:r>
      <w:proofErr w:type="spellStart"/>
      <w:r w:rsidRPr="00CB6129">
        <w:rPr>
          <w:lang w:val="en-US"/>
        </w:rPr>
        <w:t>Unidos</w:t>
      </w:r>
      <w:proofErr w:type="spellEnd"/>
      <w:r w:rsidRPr="00CB6129">
        <w:rPr>
          <w:lang w:val="en-US"/>
        </w:rPr>
        <w:t xml:space="preserve">,” 20 July 2015. </w:t>
      </w:r>
    </w:p>
  </w:footnote>
  <w:footnote w:id="3">
    <w:p w:rsidR="00B776C9" w:rsidRPr="00CB6129" w:rsidRDefault="00B776C9">
      <w:pPr>
        <w:pStyle w:val="Notedebasdepage"/>
        <w:rPr>
          <w:lang w:val="en-US"/>
        </w:rPr>
      </w:pPr>
      <w:r w:rsidRPr="00CB6129">
        <w:rPr>
          <w:rStyle w:val="Appelnotedebasdep"/>
        </w:rPr>
        <w:footnoteRef/>
      </w:r>
      <w:r w:rsidRPr="00CB6129">
        <w:rPr>
          <w:lang w:val="en-US"/>
        </w:rPr>
        <w:t xml:space="preserve"> </w:t>
      </w:r>
      <w:r w:rsidRPr="00CB6129">
        <w:rPr>
          <w:rFonts w:cs="Times New Roman"/>
          <w:lang w:val="en-US"/>
        </w:rPr>
        <w:t xml:space="preserve">Act Making Appropriations for the Support of the Army for the Fiscal Year Ending June 30, 1902 (Act of March 2, 1901), 31 Stat 895, </w:t>
      </w:r>
      <w:proofErr w:type="spellStart"/>
      <w:r w:rsidRPr="00CB6129">
        <w:rPr>
          <w:rFonts w:cs="Times New Roman"/>
          <w:lang w:val="en-US"/>
        </w:rPr>
        <w:t>Ch</w:t>
      </w:r>
      <w:proofErr w:type="spellEnd"/>
      <w:r w:rsidRPr="00CB6129">
        <w:rPr>
          <w:rFonts w:cs="Times New Roman"/>
          <w:lang w:val="en-US"/>
        </w:rPr>
        <w:t xml:space="preserve"> 803 (1901).</w:t>
      </w:r>
    </w:p>
  </w:footnote>
  <w:footnote w:id="4">
    <w:p w:rsidR="00B776C9" w:rsidRPr="00CB6129" w:rsidRDefault="00B776C9" w:rsidP="00050F14">
      <w:pPr>
        <w:autoSpaceDE w:val="0"/>
        <w:autoSpaceDN w:val="0"/>
        <w:adjustRightInd w:val="0"/>
        <w:rPr>
          <w:rFonts w:cs="Times New Roman"/>
          <w:sz w:val="20"/>
          <w:szCs w:val="20"/>
          <w:lang w:val="en-US"/>
        </w:rPr>
      </w:pPr>
      <w:r w:rsidRPr="00CB6129">
        <w:rPr>
          <w:rStyle w:val="Appelnotedebasdep"/>
          <w:rFonts w:cs="Times New Roman"/>
          <w:sz w:val="20"/>
          <w:szCs w:val="20"/>
        </w:rPr>
        <w:footnoteRef/>
      </w:r>
      <w:r w:rsidRPr="00CB6129">
        <w:rPr>
          <w:rFonts w:cs="Times New Roman"/>
          <w:sz w:val="20"/>
          <w:szCs w:val="20"/>
          <w:lang w:val="en-US"/>
        </w:rPr>
        <w:t xml:space="preserve"> </w:t>
      </w:r>
      <w:proofErr w:type="gramStart"/>
      <w:r w:rsidRPr="00CB6129">
        <w:rPr>
          <w:rFonts w:cs="Times New Roman"/>
          <w:i/>
          <w:sz w:val="20"/>
          <w:szCs w:val="20"/>
          <w:lang w:val="en-US"/>
        </w:rPr>
        <w:t>Ibid</w:t>
      </w:r>
      <w:r w:rsidRPr="00CB6129">
        <w:rPr>
          <w:rFonts w:cs="Times New Roman"/>
          <w:sz w:val="20"/>
          <w:szCs w:val="20"/>
          <w:lang w:val="en-US"/>
        </w:rPr>
        <w:t>.,</w:t>
      </w:r>
      <w:proofErr w:type="gramEnd"/>
      <w:r w:rsidRPr="00CB6129">
        <w:rPr>
          <w:rFonts w:cs="Times New Roman"/>
          <w:sz w:val="20"/>
          <w:szCs w:val="20"/>
          <w:lang w:val="en-US"/>
        </w:rPr>
        <w:t xml:space="preserve"> para. 7. </w:t>
      </w:r>
    </w:p>
  </w:footnote>
  <w:footnote w:id="5">
    <w:p w:rsidR="00B776C9" w:rsidRPr="00CB6129" w:rsidRDefault="00B776C9">
      <w:pPr>
        <w:pStyle w:val="Notedebasdepage"/>
        <w:rPr>
          <w:lang w:val="en-US"/>
        </w:rPr>
      </w:pPr>
      <w:r w:rsidRPr="00CB6129">
        <w:rPr>
          <w:rStyle w:val="Appelnotedebasdep"/>
        </w:rPr>
        <w:footnoteRef/>
      </w:r>
      <w:r w:rsidRPr="00CB6129">
        <w:rPr>
          <w:lang w:val="en-US"/>
        </w:rPr>
        <w:t xml:space="preserve"> A small second area, Bah</w:t>
      </w:r>
      <w:r w:rsidRPr="00CB6129">
        <w:rPr>
          <w:rFonts w:cs="Times New Roman"/>
          <w:lang w:val="en-US"/>
        </w:rPr>
        <w:t>í</w:t>
      </w:r>
      <w:r w:rsidRPr="00CB6129">
        <w:rPr>
          <w:lang w:val="en-US"/>
        </w:rPr>
        <w:t xml:space="preserve">a Honda, was included in the lease, but the United States did not use it and returned control of it to Cuba after a decade. </w:t>
      </w:r>
    </w:p>
  </w:footnote>
  <w:footnote w:id="6">
    <w:p w:rsidR="00B776C9" w:rsidRPr="00CB6129" w:rsidRDefault="00B776C9" w:rsidP="00C421C5">
      <w:pPr>
        <w:autoSpaceDE w:val="0"/>
        <w:autoSpaceDN w:val="0"/>
        <w:adjustRightInd w:val="0"/>
        <w:rPr>
          <w:lang w:val="en-US"/>
        </w:rPr>
      </w:pPr>
      <w:r w:rsidRPr="00CB6129">
        <w:rPr>
          <w:rStyle w:val="Appelnotedebasdep"/>
          <w:rFonts w:cs="Times New Roman"/>
          <w:sz w:val="20"/>
          <w:szCs w:val="20"/>
        </w:rPr>
        <w:footnoteRef/>
      </w:r>
      <w:r w:rsidRPr="00CB6129">
        <w:rPr>
          <w:rFonts w:cs="Times New Roman"/>
          <w:sz w:val="20"/>
          <w:szCs w:val="20"/>
          <w:lang w:val="en-US"/>
        </w:rPr>
        <w:t xml:space="preserve"> Agreement for the lease to the United States of lands in Cuba for coaling and naval stations [“Agreement of 16/23 February 1903”], Treaty </w:t>
      </w:r>
      <w:proofErr w:type="spellStart"/>
      <w:r w:rsidRPr="00CB6129">
        <w:rPr>
          <w:rFonts w:cs="Times New Roman"/>
          <w:sz w:val="20"/>
          <w:szCs w:val="20"/>
          <w:lang w:val="en-US"/>
        </w:rPr>
        <w:t>Ser</w:t>
      </w:r>
      <w:proofErr w:type="spellEnd"/>
      <w:r w:rsidRPr="00CB6129">
        <w:rPr>
          <w:rFonts w:cs="Times New Roman"/>
          <w:sz w:val="20"/>
          <w:szCs w:val="20"/>
          <w:lang w:val="en-US"/>
        </w:rPr>
        <w:t xml:space="preserve"> No 418 (1903).</w:t>
      </w:r>
    </w:p>
  </w:footnote>
  <w:footnote w:id="7">
    <w:p w:rsidR="00B776C9" w:rsidRPr="00CB6129" w:rsidRDefault="00B776C9" w:rsidP="00C421C5">
      <w:pPr>
        <w:autoSpaceDE w:val="0"/>
        <w:autoSpaceDN w:val="0"/>
        <w:adjustRightInd w:val="0"/>
        <w:rPr>
          <w:rFonts w:cs="Times New Roman"/>
          <w:sz w:val="20"/>
          <w:szCs w:val="20"/>
          <w:lang w:val="en-US"/>
        </w:rPr>
      </w:pPr>
      <w:r w:rsidRPr="00CB6129">
        <w:rPr>
          <w:rStyle w:val="Appelnotedebasdep"/>
          <w:rFonts w:cs="Times New Roman"/>
          <w:sz w:val="20"/>
          <w:szCs w:val="20"/>
        </w:rPr>
        <w:footnoteRef/>
      </w:r>
      <w:r w:rsidRPr="00CB6129">
        <w:rPr>
          <w:rFonts w:cs="Times New Roman"/>
          <w:sz w:val="20"/>
          <w:szCs w:val="20"/>
          <w:lang w:val="en-US"/>
        </w:rPr>
        <w:t xml:space="preserve"> Lease of certain areas for naval or coaling stations [“Agreement of 2 July 1903”], Treaty </w:t>
      </w:r>
      <w:proofErr w:type="spellStart"/>
      <w:r w:rsidRPr="00CB6129">
        <w:rPr>
          <w:rFonts w:cs="Times New Roman"/>
          <w:sz w:val="20"/>
          <w:szCs w:val="20"/>
          <w:lang w:val="en-US"/>
        </w:rPr>
        <w:t>Ser</w:t>
      </w:r>
      <w:proofErr w:type="spellEnd"/>
      <w:r w:rsidRPr="00CB6129">
        <w:rPr>
          <w:rFonts w:cs="Times New Roman"/>
          <w:sz w:val="20"/>
          <w:szCs w:val="20"/>
          <w:lang w:val="en-US"/>
        </w:rPr>
        <w:t xml:space="preserve"> No 426 (1903).</w:t>
      </w:r>
    </w:p>
  </w:footnote>
  <w:footnote w:id="8">
    <w:p w:rsidR="00B776C9" w:rsidRPr="00CB6129" w:rsidRDefault="00B776C9" w:rsidP="006F237D">
      <w:pPr>
        <w:autoSpaceDE w:val="0"/>
        <w:autoSpaceDN w:val="0"/>
        <w:adjustRightInd w:val="0"/>
        <w:rPr>
          <w:lang w:val="en-US"/>
        </w:rPr>
      </w:pPr>
      <w:r w:rsidRPr="00CB6129">
        <w:rPr>
          <w:rStyle w:val="Appelnotedebasdep"/>
          <w:rFonts w:cs="Times New Roman"/>
          <w:sz w:val="20"/>
          <w:szCs w:val="20"/>
        </w:rPr>
        <w:footnoteRef/>
      </w:r>
      <w:r w:rsidRPr="00CB6129">
        <w:rPr>
          <w:rFonts w:cs="Times New Roman"/>
          <w:sz w:val="20"/>
          <w:szCs w:val="20"/>
          <w:lang w:val="en-US"/>
        </w:rPr>
        <w:t xml:space="preserve"> Treaty of Relations, 48 Stat 1682, Treaty </w:t>
      </w:r>
      <w:proofErr w:type="spellStart"/>
      <w:r w:rsidRPr="00CB6129">
        <w:rPr>
          <w:rFonts w:cs="Times New Roman"/>
          <w:sz w:val="20"/>
          <w:szCs w:val="20"/>
          <w:lang w:val="en-US"/>
        </w:rPr>
        <w:t>Ser</w:t>
      </w:r>
      <w:proofErr w:type="spellEnd"/>
      <w:r w:rsidRPr="00CB6129">
        <w:rPr>
          <w:rFonts w:cs="Times New Roman"/>
          <w:sz w:val="20"/>
          <w:szCs w:val="20"/>
          <w:lang w:val="en-US"/>
        </w:rPr>
        <w:t xml:space="preserve"> No 866 (1934), art. 3.</w:t>
      </w:r>
    </w:p>
  </w:footnote>
  <w:footnote w:id="9">
    <w:p w:rsidR="00B776C9" w:rsidRPr="00CB6129" w:rsidRDefault="00B776C9">
      <w:pPr>
        <w:pStyle w:val="Notedebasdepage"/>
        <w:rPr>
          <w:lang w:val="en-US"/>
        </w:rPr>
      </w:pPr>
      <w:r w:rsidRPr="00CB6129">
        <w:rPr>
          <w:rStyle w:val="Appelnotedebasdep"/>
        </w:rPr>
        <w:footnoteRef/>
      </w:r>
      <w:r w:rsidRPr="00CB6129">
        <w:rPr>
          <w:lang w:val="en-US"/>
        </w:rPr>
        <w:t xml:space="preserve"> Agreement of 16/23 February 1903, art. 3.</w:t>
      </w:r>
    </w:p>
  </w:footnote>
  <w:footnote w:id="10">
    <w:p w:rsidR="00B776C9" w:rsidRPr="00CB6129" w:rsidRDefault="00B776C9">
      <w:pPr>
        <w:pStyle w:val="Notedebasdepage"/>
        <w:rPr>
          <w:lang w:val="en-US"/>
        </w:rPr>
      </w:pPr>
      <w:r w:rsidRPr="00CB6129">
        <w:rPr>
          <w:rStyle w:val="Appelnotedebasdep"/>
        </w:rPr>
        <w:footnoteRef/>
      </w:r>
      <w:r w:rsidRPr="00CB6129">
        <w:rPr>
          <w:lang w:val="en-US"/>
        </w:rPr>
        <w:t xml:space="preserve"> </w:t>
      </w:r>
      <w:proofErr w:type="gramStart"/>
      <w:r w:rsidRPr="00CB6129">
        <w:rPr>
          <w:i/>
          <w:lang w:val="en-US"/>
        </w:rPr>
        <w:t>Ibid</w:t>
      </w:r>
      <w:r w:rsidRPr="00CB6129">
        <w:rPr>
          <w:lang w:val="en-US"/>
        </w:rPr>
        <w:t>.,</w:t>
      </w:r>
      <w:proofErr w:type="gramEnd"/>
      <w:r w:rsidRPr="00CB6129">
        <w:rPr>
          <w:lang w:val="en-US"/>
        </w:rPr>
        <w:t xml:space="preserve"> art. 1.</w:t>
      </w:r>
    </w:p>
  </w:footnote>
  <w:footnote w:id="11">
    <w:p w:rsidR="00B776C9" w:rsidRPr="00CB6129" w:rsidRDefault="00B776C9" w:rsidP="00050F14">
      <w:pPr>
        <w:autoSpaceDE w:val="0"/>
        <w:autoSpaceDN w:val="0"/>
        <w:adjustRightInd w:val="0"/>
        <w:rPr>
          <w:rFonts w:cs="Times New Roman"/>
          <w:sz w:val="20"/>
          <w:szCs w:val="20"/>
          <w:lang w:val="en-US"/>
        </w:rPr>
      </w:pPr>
      <w:r w:rsidRPr="00CB6129">
        <w:rPr>
          <w:rStyle w:val="Appelnotedebasdep"/>
          <w:rFonts w:cs="Times New Roman"/>
          <w:sz w:val="20"/>
          <w:szCs w:val="20"/>
        </w:rPr>
        <w:footnoteRef/>
      </w:r>
      <w:r w:rsidRPr="00CB6129">
        <w:rPr>
          <w:rFonts w:cs="Times New Roman"/>
          <w:sz w:val="20"/>
          <w:szCs w:val="20"/>
          <w:lang w:val="en-US"/>
        </w:rPr>
        <w:t xml:space="preserve"> In re Guzman &amp; </w:t>
      </w:r>
      <w:proofErr w:type="spellStart"/>
      <w:r w:rsidRPr="00CB6129">
        <w:rPr>
          <w:rFonts w:cs="Times New Roman"/>
          <w:sz w:val="20"/>
          <w:szCs w:val="20"/>
          <w:lang w:val="en-US"/>
        </w:rPr>
        <w:t>Latamble</w:t>
      </w:r>
      <w:proofErr w:type="spellEnd"/>
      <w:r w:rsidRPr="00CB6129">
        <w:rPr>
          <w:rFonts w:cs="Times New Roman"/>
          <w:sz w:val="20"/>
          <w:szCs w:val="20"/>
          <w:lang w:val="en-US"/>
        </w:rPr>
        <w:t>, Cuba S Ct, Ann Dig of Pub Intl Law Cases 1933-1934 (Intl Law Rep 7) 112</w:t>
      </w:r>
    </w:p>
    <w:p w:rsidR="00B776C9" w:rsidRPr="00CB6129" w:rsidRDefault="00B776C9" w:rsidP="00050F14">
      <w:pPr>
        <w:pStyle w:val="Notedebasdepage"/>
        <w:rPr>
          <w:lang w:val="en-US"/>
        </w:rPr>
      </w:pPr>
      <w:r w:rsidRPr="00CB6129">
        <w:rPr>
          <w:rFonts w:cs="Times New Roman"/>
          <w:lang w:val="en-US"/>
        </w:rPr>
        <w:t>(1934).</w:t>
      </w:r>
    </w:p>
  </w:footnote>
  <w:footnote w:id="12">
    <w:p w:rsidR="00B776C9" w:rsidRPr="00CB6129" w:rsidRDefault="00B776C9">
      <w:pPr>
        <w:pStyle w:val="Notedebasdepage"/>
        <w:rPr>
          <w:lang w:val="en-US"/>
        </w:rPr>
      </w:pPr>
      <w:r w:rsidRPr="00CB6129">
        <w:rPr>
          <w:rStyle w:val="Appelnotedebasdep"/>
        </w:rPr>
        <w:footnoteRef/>
      </w:r>
      <w:r w:rsidRPr="00CB6129">
        <w:rPr>
          <w:lang w:val="en-US"/>
        </w:rPr>
        <w:t xml:space="preserve"> </w:t>
      </w:r>
      <w:r w:rsidRPr="00CB6129">
        <w:rPr>
          <w:i/>
          <w:lang w:val="en-US"/>
        </w:rPr>
        <w:t>E.g</w:t>
      </w:r>
      <w:r w:rsidRPr="00CB6129">
        <w:rPr>
          <w:lang w:val="en-US"/>
        </w:rPr>
        <w:t xml:space="preserve">., in </w:t>
      </w:r>
      <w:proofErr w:type="spellStart"/>
      <w:r w:rsidRPr="00CB6129">
        <w:rPr>
          <w:lang w:val="en-US"/>
        </w:rPr>
        <w:t>Boumediene</w:t>
      </w:r>
      <w:proofErr w:type="spellEnd"/>
      <w:r w:rsidRPr="00CB6129">
        <w:rPr>
          <w:lang w:val="en-US"/>
        </w:rPr>
        <w:t xml:space="preserve"> v. Bush, 128 S Ct 2229 (2008).</w:t>
      </w:r>
    </w:p>
  </w:footnote>
  <w:footnote w:id="13">
    <w:p w:rsidR="00B776C9" w:rsidRPr="00CB6129" w:rsidRDefault="00B776C9" w:rsidP="00050F14">
      <w:pPr>
        <w:pStyle w:val="Notedebasdepage"/>
        <w:rPr>
          <w:lang w:val="en-US"/>
        </w:rPr>
      </w:pPr>
      <w:r w:rsidRPr="00CB6129">
        <w:rPr>
          <w:rStyle w:val="Appelnotedebasdep"/>
        </w:rPr>
        <w:footnoteRef/>
      </w:r>
      <w:r w:rsidRPr="00CB6129">
        <w:rPr>
          <w:lang w:val="en-US"/>
        </w:rPr>
        <w:t xml:space="preserve"> Michael J. Strauss, </w:t>
      </w:r>
      <w:r w:rsidRPr="00CB6129">
        <w:rPr>
          <w:i/>
          <w:lang w:val="en-US"/>
        </w:rPr>
        <w:t>The Leasing of Guantanamo Bay</w:t>
      </w:r>
      <w:r w:rsidRPr="00CB6129">
        <w:rPr>
          <w:lang w:val="en-US"/>
        </w:rPr>
        <w:t xml:space="preserve"> (Westport, Conn.: </w:t>
      </w:r>
      <w:proofErr w:type="spellStart"/>
      <w:r w:rsidRPr="00CB6129">
        <w:rPr>
          <w:lang w:val="en-US"/>
        </w:rPr>
        <w:t>Praeger</w:t>
      </w:r>
      <w:proofErr w:type="spellEnd"/>
      <w:r w:rsidRPr="00CB6129">
        <w:rPr>
          <w:lang w:val="en-US"/>
        </w:rPr>
        <w:t>, 2009), 170-76.</w:t>
      </w:r>
    </w:p>
  </w:footnote>
  <w:footnote w:id="14">
    <w:p w:rsidR="00B776C9" w:rsidRPr="00CB6129" w:rsidRDefault="00B776C9" w:rsidP="00050F14">
      <w:pPr>
        <w:autoSpaceDE w:val="0"/>
        <w:autoSpaceDN w:val="0"/>
        <w:adjustRightInd w:val="0"/>
        <w:rPr>
          <w:lang w:val="en-US"/>
        </w:rPr>
      </w:pPr>
      <w:r w:rsidRPr="00CB6129">
        <w:rPr>
          <w:rStyle w:val="Appelnotedebasdep"/>
          <w:rFonts w:cs="Times New Roman"/>
          <w:sz w:val="20"/>
          <w:szCs w:val="20"/>
        </w:rPr>
        <w:footnoteRef/>
      </w:r>
      <w:r w:rsidRPr="00CB6129">
        <w:rPr>
          <w:rFonts w:cs="Times New Roman"/>
          <w:sz w:val="20"/>
          <w:szCs w:val="20"/>
          <w:lang w:val="en-US"/>
        </w:rPr>
        <w:t xml:space="preserve"> </w:t>
      </w:r>
      <w:proofErr w:type="spellStart"/>
      <w:r w:rsidRPr="00CB6129">
        <w:rPr>
          <w:rFonts w:cs="Times New Roman"/>
          <w:sz w:val="20"/>
          <w:szCs w:val="20"/>
          <w:lang w:val="en-US"/>
        </w:rPr>
        <w:t>Ministerio</w:t>
      </w:r>
      <w:proofErr w:type="spellEnd"/>
      <w:r w:rsidRPr="00CB6129">
        <w:rPr>
          <w:rFonts w:cs="Times New Roman"/>
          <w:sz w:val="20"/>
          <w:szCs w:val="20"/>
          <w:lang w:val="en-US"/>
        </w:rPr>
        <w:t xml:space="preserve"> de </w:t>
      </w:r>
      <w:proofErr w:type="spellStart"/>
      <w:r w:rsidRPr="00CB6129">
        <w:rPr>
          <w:rFonts w:cs="Times New Roman"/>
          <w:sz w:val="20"/>
          <w:szCs w:val="20"/>
          <w:lang w:val="en-US"/>
        </w:rPr>
        <w:t>Relaciones</w:t>
      </w:r>
      <w:proofErr w:type="spellEnd"/>
      <w:r w:rsidRPr="00CB6129">
        <w:rPr>
          <w:rFonts w:cs="Times New Roman"/>
          <w:sz w:val="20"/>
          <w:szCs w:val="20"/>
          <w:lang w:val="en-US"/>
        </w:rPr>
        <w:t xml:space="preserve"> </w:t>
      </w:r>
      <w:proofErr w:type="spellStart"/>
      <w:r w:rsidRPr="00CB6129">
        <w:rPr>
          <w:rFonts w:cs="Times New Roman"/>
          <w:sz w:val="20"/>
          <w:szCs w:val="20"/>
          <w:lang w:val="en-US"/>
        </w:rPr>
        <w:t>Exteriores</w:t>
      </w:r>
      <w:proofErr w:type="spellEnd"/>
      <w:r w:rsidRPr="00CB6129">
        <w:rPr>
          <w:rFonts w:cs="Times New Roman"/>
          <w:sz w:val="20"/>
          <w:szCs w:val="20"/>
          <w:lang w:val="en-US"/>
        </w:rPr>
        <w:t xml:space="preserve"> de Cuba, “Cuba y </w:t>
      </w:r>
      <w:proofErr w:type="spellStart"/>
      <w:r w:rsidRPr="00CB6129">
        <w:rPr>
          <w:rFonts w:cs="Times New Roman"/>
          <w:sz w:val="20"/>
          <w:szCs w:val="20"/>
          <w:lang w:val="en-US"/>
        </w:rPr>
        <w:t>su</w:t>
      </w:r>
      <w:proofErr w:type="spellEnd"/>
      <w:r w:rsidRPr="00CB6129">
        <w:rPr>
          <w:rFonts w:cs="Times New Roman"/>
          <w:sz w:val="20"/>
          <w:szCs w:val="20"/>
          <w:lang w:val="en-US"/>
        </w:rPr>
        <w:t xml:space="preserve"> </w:t>
      </w:r>
      <w:proofErr w:type="spellStart"/>
      <w:r w:rsidRPr="00CB6129">
        <w:rPr>
          <w:rFonts w:cs="Times New Roman"/>
          <w:sz w:val="20"/>
          <w:szCs w:val="20"/>
          <w:lang w:val="en-US"/>
        </w:rPr>
        <w:t>defensa</w:t>
      </w:r>
      <w:proofErr w:type="spellEnd"/>
      <w:r w:rsidRPr="00CB6129">
        <w:rPr>
          <w:rFonts w:cs="Times New Roman"/>
          <w:sz w:val="20"/>
          <w:szCs w:val="20"/>
          <w:lang w:val="en-US"/>
        </w:rPr>
        <w:t xml:space="preserve"> de </w:t>
      </w:r>
      <w:proofErr w:type="spellStart"/>
      <w:r w:rsidRPr="00CB6129">
        <w:rPr>
          <w:rFonts w:cs="Times New Roman"/>
          <w:sz w:val="20"/>
          <w:szCs w:val="20"/>
          <w:lang w:val="en-US"/>
        </w:rPr>
        <w:t>todos</w:t>
      </w:r>
      <w:proofErr w:type="spellEnd"/>
      <w:r w:rsidRPr="00CB6129">
        <w:rPr>
          <w:rFonts w:cs="Times New Roman"/>
          <w:sz w:val="20"/>
          <w:szCs w:val="20"/>
          <w:lang w:val="en-US"/>
        </w:rPr>
        <w:t xml:space="preserve"> </w:t>
      </w:r>
      <w:proofErr w:type="spellStart"/>
      <w:r w:rsidRPr="00CB6129">
        <w:rPr>
          <w:rFonts w:cs="Times New Roman"/>
          <w:sz w:val="20"/>
          <w:szCs w:val="20"/>
          <w:lang w:val="en-US"/>
        </w:rPr>
        <w:t>los</w:t>
      </w:r>
      <w:proofErr w:type="spellEnd"/>
      <w:r w:rsidRPr="00CB6129">
        <w:rPr>
          <w:rFonts w:cs="Times New Roman"/>
          <w:sz w:val="20"/>
          <w:szCs w:val="20"/>
          <w:lang w:val="en-US"/>
        </w:rPr>
        <w:t xml:space="preserve"> Derechos </w:t>
      </w:r>
      <w:proofErr w:type="spellStart"/>
      <w:r w:rsidRPr="00CB6129">
        <w:rPr>
          <w:rFonts w:cs="Times New Roman"/>
          <w:sz w:val="20"/>
          <w:szCs w:val="20"/>
          <w:lang w:val="en-US"/>
        </w:rPr>
        <w:t>Humanos</w:t>
      </w:r>
      <w:proofErr w:type="spellEnd"/>
      <w:r w:rsidRPr="00CB6129">
        <w:rPr>
          <w:rFonts w:cs="Times New Roman"/>
          <w:sz w:val="20"/>
          <w:szCs w:val="20"/>
          <w:lang w:val="en-US"/>
        </w:rPr>
        <w:t xml:space="preserve"> para </w:t>
      </w:r>
      <w:proofErr w:type="spellStart"/>
      <w:r w:rsidRPr="00CB6129">
        <w:rPr>
          <w:rFonts w:cs="Times New Roman"/>
          <w:sz w:val="20"/>
          <w:szCs w:val="20"/>
          <w:lang w:val="en-US"/>
        </w:rPr>
        <w:t>todos</w:t>
      </w:r>
      <w:proofErr w:type="spellEnd"/>
      <w:r w:rsidRPr="00CB6129">
        <w:rPr>
          <w:rFonts w:cs="Times New Roman"/>
          <w:sz w:val="20"/>
          <w:szCs w:val="20"/>
          <w:lang w:val="en-US"/>
        </w:rPr>
        <w:t>,” report distributed in the UN Economic and Social Council Commission on Human Rights, April 6, 2004, UN document E/CN.4/2004/G/46.</w:t>
      </w:r>
    </w:p>
  </w:footnote>
  <w:footnote w:id="15">
    <w:p w:rsidR="00B776C9" w:rsidRPr="00CB6129" w:rsidRDefault="00B776C9">
      <w:pPr>
        <w:pStyle w:val="Notedebasdepage"/>
        <w:rPr>
          <w:lang w:val="en-US"/>
        </w:rPr>
      </w:pPr>
      <w:r w:rsidRPr="00CB6129">
        <w:rPr>
          <w:rStyle w:val="Appelnotedebasdep"/>
        </w:rPr>
        <w:footnoteRef/>
      </w:r>
      <w:r w:rsidRPr="00CB6129">
        <w:rPr>
          <w:lang w:val="en-US"/>
        </w:rPr>
        <w:t xml:space="preserve"> </w:t>
      </w:r>
      <w:proofErr w:type="spellStart"/>
      <w:r w:rsidRPr="00CB6129">
        <w:rPr>
          <w:lang w:val="en-US"/>
        </w:rPr>
        <w:t>Ministerio</w:t>
      </w:r>
      <w:proofErr w:type="spellEnd"/>
      <w:r w:rsidRPr="00CB6129">
        <w:rPr>
          <w:lang w:val="en-US"/>
        </w:rPr>
        <w:t xml:space="preserve"> de </w:t>
      </w:r>
      <w:proofErr w:type="spellStart"/>
      <w:r w:rsidRPr="00CB6129">
        <w:rPr>
          <w:lang w:val="en-US"/>
        </w:rPr>
        <w:t>Relaciones</w:t>
      </w:r>
      <w:proofErr w:type="spellEnd"/>
      <w:r w:rsidRPr="00CB6129">
        <w:rPr>
          <w:lang w:val="en-US"/>
        </w:rPr>
        <w:t xml:space="preserve"> </w:t>
      </w:r>
      <w:proofErr w:type="spellStart"/>
      <w:r w:rsidRPr="00CB6129">
        <w:rPr>
          <w:lang w:val="en-US"/>
        </w:rPr>
        <w:t>Exteriores</w:t>
      </w:r>
      <w:proofErr w:type="spellEnd"/>
      <w:r w:rsidRPr="00CB6129">
        <w:rPr>
          <w:lang w:val="en-US"/>
        </w:rPr>
        <w:t xml:space="preserve"> de Cuba, “A veritable moral and legal black hole in the territory illegally occupied by the US naval base at Guantanamo,” http://anterior.cubaminrex.cu/Derechos%20Humanos/Articulos/Archivo/2005/LibroBlanco2005/English/5_1.html, accessed 16 July 2016.</w:t>
      </w:r>
    </w:p>
  </w:footnote>
  <w:footnote w:id="16">
    <w:p w:rsidR="00B776C9" w:rsidRPr="00CB6129" w:rsidRDefault="00B776C9" w:rsidP="00050F14">
      <w:pPr>
        <w:autoSpaceDE w:val="0"/>
        <w:autoSpaceDN w:val="0"/>
        <w:adjustRightInd w:val="0"/>
        <w:rPr>
          <w:lang w:val="en-US"/>
        </w:rPr>
      </w:pPr>
      <w:r w:rsidRPr="00CB6129">
        <w:rPr>
          <w:rStyle w:val="Appelnotedebasdep"/>
          <w:rFonts w:cs="Times New Roman"/>
          <w:sz w:val="20"/>
          <w:szCs w:val="20"/>
        </w:rPr>
        <w:footnoteRef/>
      </w:r>
      <w:r w:rsidRPr="00CB6129">
        <w:rPr>
          <w:rFonts w:cs="Times New Roman"/>
          <w:sz w:val="20"/>
          <w:szCs w:val="20"/>
          <w:lang w:val="en-US"/>
        </w:rPr>
        <w:t xml:space="preserve"> Memorandum from Leonard C. Meeker, Deputy Legal Adviser, Department of State, to Dean Rusk, Secretary of State. February 2, 1962 (National Security Archive, Cuban Missile Crisis Collection, Document CC00160).</w:t>
      </w:r>
    </w:p>
  </w:footnote>
  <w:footnote w:id="17">
    <w:p w:rsidR="00B776C9" w:rsidRPr="00CB6129" w:rsidRDefault="00B776C9">
      <w:pPr>
        <w:pStyle w:val="Notedebasdepage"/>
        <w:rPr>
          <w:lang w:val="en-US"/>
        </w:rPr>
      </w:pPr>
      <w:r w:rsidRPr="00CB6129">
        <w:rPr>
          <w:rStyle w:val="Appelnotedebasdep"/>
        </w:rPr>
        <w:footnoteRef/>
      </w:r>
      <w:r w:rsidRPr="00CB6129">
        <w:rPr>
          <w:lang w:val="en-US"/>
        </w:rPr>
        <w:t xml:space="preserve"> Both agreements are sometimes referred to as “unequal treaties,” a status that could justify their voidance (see, </w:t>
      </w:r>
      <w:r w:rsidRPr="00CB6129">
        <w:rPr>
          <w:i/>
          <w:lang w:val="en-US"/>
        </w:rPr>
        <w:t>e.g</w:t>
      </w:r>
      <w:r w:rsidRPr="00CB6129">
        <w:rPr>
          <w:lang w:val="en-US"/>
        </w:rPr>
        <w:t xml:space="preserve">., Strauss, </w:t>
      </w:r>
      <w:r w:rsidRPr="00CB6129">
        <w:rPr>
          <w:i/>
          <w:lang w:val="en-US"/>
        </w:rPr>
        <w:t>The Leasing of Guantanamo Bay</w:t>
      </w:r>
      <w:r w:rsidRPr="00CB6129">
        <w:rPr>
          <w:lang w:val="en-US"/>
        </w:rPr>
        <w:t>, 120; Olga Miranda, “How to End the Guant</w:t>
      </w:r>
      <w:r w:rsidRPr="00CB6129">
        <w:rPr>
          <w:rFonts w:cs="Times New Roman"/>
          <w:lang w:val="en-US"/>
        </w:rPr>
        <w:t>á</w:t>
      </w:r>
      <w:r w:rsidRPr="00CB6129">
        <w:rPr>
          <w:lang w:val="en-US"/>
        </w:rPr>
        <w:t xml:space="preserve">namo Treaty,” in Fidel Castro, </w:t>
      </w:r>
      <w:r w:rsidRPr="00CB6129">
        <w:rPr>
          <w:i/>
          <w:lang w:val="en-US"/>
        </w:rPr>
        <w:t>Guantanamo: Why the Illegal US Base Should be Returned to Cuba</w:t>
      </w:r>
      <w:r w:rsidRPr="00CB6129">
        <w:rPr>
          <w:lang w:val="en-US"/>
        </w:rPr>
        <w:t xml:space="preserve"> (Melbourne: Ocean Press, 2011), 93). </w:t>
      </w:r>
    </w:p>
  </w:footnote>
  <w:footnote w:id="18">
    <w:p w:rsidR="00B776C9" w:rsidRPr="00CB6129" w:rsidRDefault="00B776C9">
      <w:pPr>
        <w:pStyle w:val="Notedebasdepage"/>
        <w:rPr>
          <w:lang w:val="en-US"/>
        </w:rPr>
      </w:pPr>
      <w:r w:rsidRPr="00CB6129">
        <w:rPr>
          <w:rStyle w:val="Appelnotedebasdep"/>
        </w:rPr>
        <w:footnoteRef/>
      </w:r>
      <w:r w:rsidRPr="00CB6129">
        <w:rPr>
          <w:lang w:val="en-US"/>
        </w:rPr>
        <w:t xml:space="preserve"> Miranda, “How to End the Guant</w:t>
      </w:r>
      <w:r w:rsidRPr="00CB6129">
        <w:rPr>
          <w:rFonts w:cs="Times New Roman"/>
          <w:lang w:val="en-US"/>
        </w:rPr>
        <w:t>á</w:t>
      </w:r>
      <w:r w:rsidRPr="00CB6129">
        <w:rPr>
          <w:lang w:val="en-US"/>
        </w:rPr>
        <w:t>namo Treaty,” 103.</w:t>
      </w:r>
    </w:p>
  </w:footnote>
  <w:footnote w:id="19">
    <w:p w:rsidR="00B776C9" w:rsidRPr="00CB6129" w:rsidRDefault="00B776C9">
      <w:pPr>
        <w:pStyle w:val="Notedebasdepage"/>
        <w:rPr>
          <w:lang w:val="en-US"/>
        </w:rPr>
      </w:pPr>
      <w:r w:rsidRPr="00CB6129">
        <w:rPr>
          <w:rStyle w:val="Appelnotedebasdep"/>
        </w:rPr>
        <w:footnoteRef/>
      </w:r>
      <w:r w:rsidRPr="00CB6129">
        <w:rPr>
          <w:lang w:val="en-US"/>
        </w:rPr>
        <w:t xml:space="preserve"> “(T</w:t>
      </w:r>
      <w:proofErr w:type="gramStart"/>
      <w:r w:rsidRPr="00CB6129">
        <w:rPr>
          <w:lang w:val="en-US"/>
        </w:rPr>
        <w:t>)his</w:t>
      </w:r>
      <w:proofErr w:type="gramEnd"/>
      <w:r w:rsidRPr="00CB6129">
        <w:rPr>
          <w:lang w:val="en-US"/>
        </w:rPr>
        <w:t xml:space="preserve"> solution is out of our hands” (</w:t>
      </w:r>
      <w:r w:rsidRPr="00CB6129">
        <w:rPr>
          <w:i/>
          <w:lang w:val="en-US"/>
        </w:rPr>
        <w:t>ibid</w:t>
      </w:r>
      <w:r w:rsidRPr="00CB6129">
        <w:rPr>
          <w:lang w:val="en-US"/>
        </w:rPr>
        <w:t>., 93).</w:t>
      </w:r>
    </w:p>
  </w:footnote>
  <w:footnote w:id="20">
    <w:p w:rsidR="00B776C9" w:rsidRPr="00CB6129" w:rsidRDefault="00B776C9">
      <w:pPr>
        <w:pStyle w:val="Notedebasdepage"/>
        <w:rPr>
          <w:lang w:val="en-US"/>
        </w:rPr>
      </w:pPr>
      <w:r w:rsidRPr="00CB6129">
        <w:rPr>
          <w:rStyle w:val="Appelnotedebasdep"/>
        </w:rPr>
        <w:footnoteRef/>
      </w:r>
      <w:r w:rsidRPr="00CB6129">
        <w:rPr>
          <w:lang w:val="en-US"/>
        </w:rPr>
        <w:t xml:space="preserve"> The term “base” is used generically here, and in the law described herein, to refer to any U.S. military facility regardless of whether it is classified as a base in the hierarchy of U.S. military installations.</w:t>
      </w:r>
    </w:p>
  </w:footnote>
  <w:footnote w:id="21">
    <w:p w:rsidR="00B776C9" w:rsidRPr="00CB6129" w:rsidRDefault="00B776C9">
      <w:pPr>
        <w:pStyle w:val="Notedebasdepage"/>
        <w:rPr>
          <w:lang w:val="en-US"/>
        </w:rPr>
      </w:pPr>
      <w:r w:rsidRPr="00CB6129">
        <w:rPr>
          <w:rStyle w:val="Appelnotedebasdep"/>
        </w:rPr>
        <w:footnoteRef/>
      </w:r>
      <w:r w:rsidRPr="00CB6129">
        <w:rPr>
          <w:lang w:val="en-US"/>
        </w:rPr>
        <w:t xml:space="preserve"> P.L. 101-510.</w:t>
      </w:r>
    </w:p>
  </w:footnote>
  <w:footnote w:id="22">
    <w:p w:rsidR="00B776C9" w:rsidRPr="00CB6129" w:rsidRDefault="00B776C9">
      <w:pPr>
        <w:pStyle w:val="Notedebasdepage"/>
        <w:rPr>
          <w:lang w:val="en-US"/>
        </w:rPr>
      </w:pPr>
      <w:r w:rsidRPr="00CB6129">
        <w:rPr>
          <w:rStyle w:val="Appelnotedebasdep"/>
        </w:rPr>
        <w:footnoteRef/>
      </w:r>
      <w:r w:rsidRPr="00CB6129">
        <w:rPr>
          <w:lang w:val="en-US"/>
        </w:rPr>
        <w:t xml:space="preserve"> Defense Base Closure and Realignment Commission, http://www.brac.gov/about.html, accessed 16 July 2016.</w:t>
      </w:r>
    </w:p>
  </w:footnote>
  <w:footnote w:id="23">
    <w:p w:rsidR="00B776C9" w:rsidRPr="00CB6129" w:rsidRDefault="00B776C9">
      <w:pPr>
        <w:pStyle w:val="Notedebasdepage"/>
        <w:rPr>
          <w:lang w:val="en-US"/>
        </w:rPr>
      </w:pPr>
      <w:r w:rsidRPr="00CB6129">
        <w:rPr>
          <w:rStyle w:val="Appelnotedebasdep"/>
        </w:rPr>
        <w:footnoteRef/>
      </w:r>
      <w:r w:rsidRPr="00CB6129">
        <w:rPr>
          <w:lang w:val="en-US"/>
        </w:rPr>
        <w:t xml:space="preserve"> Kenneth R. Mayer, “Closing Military Bases (Finally): Solving Collective Dilemmas </w:t>
      </w:r>
      <w:proofErr w:type="gramStart"/>
      <w:r w:rsidRPr="00CB6129">
        <w:rPr>
          <w:lang w:val="en-US"/>
        </w:rPr>
        <w:t>Through</w:t>
      </w:r>
      <w:proofErr w:type="gramEnd"/>
      <w:r w:rsidRPr="00CB6129">
        <w:rPr>
          <w:lang w:val="en-US"/>
        </w:rPr>
        <w:t xml:space="preserve"> Delegation,” </w:t>
      </w:r>
      <w:r w:rsidRPr="00CB6129">
        <w:rPr>
          <w:i/>
          <w:lang w:val="en-US"/>
        </w:rPr>
        <w:t>Legislative Studies Quarterly</w:t>
      </w:r>
      <w:r w:rsidRPr="00CB6129">
        <w:rPr>
          <w:lang w:val="en-US"/>
        </w:rPr>
        <w:t xml:space="preserve"> 20 (3), 1995, 393-94.</w:t>
      </w:r>
    </w:p>
  </w:footnote>
  <w:footnote w:id="24">
    <w:p w:rsidR="00B776C9" w:rsidRPr="00CB6129" w:rsidRDefault="00B776C9" w:rsidP="00D94B14">
      <w:pPr>
        <w:pStyle w:val="Notedebasdepage"/>
        <w:rPr>
          <w:lang w:val="en-US"/>
        </w:rPr>
      </w:pPr>
      <w:r w:rsidRPr="00CB6129">
        <w:rPr>
          <w:rStyle w:val="Appelnotedebasdep"/>
        </w:rPr>
        <w:footnoteRef/>
      </w:r>
      <w:r w:rsidRPr="00CB6129">
        <w:rPr>
          <w:lang w:val="en-US"/>
        </w:rPr>
        <w:t xml:space="preserve"> “Final Selection Criteria, Department of Defense Base Closure and Realignment,” attachment to memorandum from Michael W. Wynne, Acting Under Secretary of Defense, 4 January 2005, http://www.brac.gov/docs/criteria_final_jan4_05.pdf, accessed 16 July 2016. The criteria were established by the Ronald Reagan National Defense Authorization Act for Fiscal Year 2005 (P.L. 108-375) as an amendment to the Defense Base Closure and Realignment Act of 1990.</w:t>
      </w:r>
    </w:p>
  </w:footnote>
  <w:footnote w:id="25">
    <w:p w:rsidR="00B776C9" w:rsidRPr="00CB6129" w:rsidRDefault="00B776C9">
      <w:pPr>
        <w:pStyle w:val="Notedebasdepage"/>
        <w:rPr>
          <w:lang w:val="en-US"/>
        </w:rPr>
      </w:pPr>
      <w:r w:rsidRPr="00CB6129">
        <w:rPr>
          <w:rStyle w:val="Appelnotedebasdep"/>
        </w:rPr>
        <w:footnoteRef/>
      </w:r>
      <w:r w:rsidRPr="00CB6129">
        <w:rPr>
          <w:lang w:val="en-US"/>
        </w:rPr>
        <w:t xml:space="preserve"> In addition, the political and economic impact in the United States of closing an overseas base may be less than for a domestic base.</w:t>
      </w:r>
    </w:p>
  </w:footnote>
  <w:footnote w:id="26">
    <w:p w:rsidR="00B776C9" w:rsidRPr="00CB6129" w:rsidRDefault="00B776C9">
      <w:pPr>
        <w:pStyle w:val="Notedebasdepage"/>
        <w:rPr>
          <w:lang w:val="en-US"/>
        </w:rPr>
      </w:pPr>
      <w:r w:rsidRPr="00CB6129">
        <w:rPr>
          <w:rStyle w:val="Appelnotedebasdep"/>
        </w:rPr>
        <w:footnoteRef/>
      </w:r>
      <w:r w:rsidRPr="00CB6129">
        <w:rPr>
          <w:lang w:val="en-US"/>
        </w:rPr>
        <w:t xml:space="preserve"> P.L. 101-510, sec. 2921.</w:t>
      </w:r>
    </w:p>
  </w:footnote>
  <w:footnote w:id="27">
    <w:p w:rsidR="00B776C9" w:rsidRPr="00CB6129" w:rsidRDefault="00B776C9">
      <w:pPr>
        <w:pStyle w:val="Notedebasdepage"/>
        <w:rPr>
          <w:lang w:val="en-US"/>
        </w:rPr>
      </w:pPr>
      <w:r w:rsidRPr="00CB6129">
        <w:rPr>
          <w:rStyle w:val="Appelnotedebasdep"/>
        </w:rPr>
        <w:footnoteRef/>
      </w:r>
      <w:r w:rsidRPr="00CB6129">
        <w:rPr>
          <w:lang w:val="en-US"/>
        </w:rPr>
        <w:t xml:space="preserve"> Christopher M. Davis and Paul S. </w:t>
      </w:r>
      <w:proofErr w:type="spellStart"/>
      <w:r w:rsidRPr="00CB6129">
        <w:rPr>
          <w:lang w:val="en-US"/>
        </w:rPr>
        <w:t>Rundquist</w:t>
      </w:r>
      <w:proofErr w:type="spellEnd"/>
      <w:r w:rsidRPr="00CB6129">
        <w:rPr>
          <w:lang w:val="en-US"/>
        </w:rPr>
        <w:t>, “Sense of’ Resolutions and Provisions,” Congressional Research Service Report No. 98-825, 16 May 2016, p. 2.</w:t>
      </w:r>
    </w:p>
  </w:footnote>
  <w:footnote w:id="28">
    <w:p w:rsidR="00B776C9" w:rsidRPr="00CB6129" w:rsidRDefault="00B776C9">
      <w:pPr>
        <w:pStyle w:val="Notedebasdepage"/>
        <w:rPr>
          <w:lang w:val="en-US"/>
        </w:rPr>
      </w:pPr>
      <w:r w:rsidRPr="00CB6129">
        <w:rPr>
          <w:rStyle w:val="Appelnotedebasdep"/>
        </w:rPr>
        <w:footnoteRef/>
      </w:r>
      <w:r w:rsidRPr="00CB6129">
        <w:rPr>
          <w:lang w:val="en-US"/>
        </w:rPr>
        <w:t xml:space="preserve"> The risk of eventual political or legislative consequences may nonetheless exist.</w:t>
      </w:r>
    </w:p>
  </w:footnote>
  <w:footnote w:id="29">
    <w:p w:rsidR="00B776C9" w:rsidRPr="00CB6129" w:rsidRDefault="00B776C9">
      <w:pPr>
        <w:pStyle w:val="Notedebasdepage"/>
        <w:rPr>
          <w:lang w:val="en-US"/>
        </w:rPr>
      </w:pPr>
      <w:r w:rsidRPr="00CB6129">
        <w:rPr>
          <w:rStyle w:val="Appelnotedebasdep"/>
        </w:rPr>
        <w:footnoteRef/>
      </w:r>
      <w:r w:rsidRPr="00CB6129">
        <w:rPr>
          <w:lang w:val="en-US"/>
        </w:rPr>
        <w:t xml:space="preserve"> This occurs by approving a “resolution of ratification.”</w:t>
      </w:r>
    </w:p>
  </w:footnote>
  <w:footnote w:id="30">
    <w:p w:rsidR="00B776C9" w:rsidRPr="00CB6129" w:rsidRDefault="00B776C9">
      <w:pPr>
        <w:pStyle w:val="Notedebasdepage"/>
        <w:rPr>
          <w:lang w:val="en-US"/>
        </w:rPr>
      </w:pPr>
      <w:r w:rsidRPr="00CB6129">
        <w:rPr>
          <w:rStyle w:val="Appelnotedebasdep"/>
        </w:rPr>
        <w:footnoteRef/>
      </w:r>
      <w:r w:rsidRPr="00CB6129">
        <w:rPr>
          <w:lang w:val="en-US"/>
        </w:rPr>
        <w:t xml:space="preserve"> Manuel John Garcia, “International Law and Agreements: Their Effect </w:t>
      </w:r>
      <w:proofErr w:type="gramStart"/>
      <w:r w:rsidRPr="00CB6129">
        <w:rPr>
          <w:lang w:val="en-US"/>
        </w:rPr>
        <w:t>Upon</w:t>
      </w:r>
      <w:proofErr w:type="gramEnd"/>
      <w:r w:rsidRPr="00CB6129">
        <w:rPr>
          <w:lang w:val="en-US"/>
        </w:rPr>
        <w:t xml:space="preserve"> U.S. Law,” Congressional Research Service Report No. RL32528, 18 February 2015, p. 1.</w:t>
      </w:r>
    </w:p>
  </w:footnote>
  <w:footnote w:id="31">
    <w:p w:rsidR="00B776C9" w:rsidRPr="00CB6129" w:rsidRDefault="00B776C9">
      <w:pPr>
        <w:pStyle w:val="Notedebasdepage"/>
        <w:rPr>
          <w:lang w:val="en-US"/>
        </w:rPr>
      </w:pPr>
      <w:r w:rsidRPr="00CB6129">
        <w:rPr>
          <w:rStyle w:val="Appelnotedebasdep"/>
        </w:rPr>
        <w:footnoteRef/>
      </w:r>
      <w:r w:rsidRPr="00CB6129">
        <w:rPr>
          <w:lang w:val="en-US"/>
        </w:rPr>
        <w:t xml:space="preserve"> Vienna Convention on the Law of Treaties (1969), art. 2 (1) (a).</w:t>
      </w:r>
    </w:p>
  </w:footnote>
  <w:footnote w:id="32">
    <w:p w:rsidR="00B776C9" w:rsidRPr="00CB6129" w:rsidRDefault="00B776C9">
      <w:pPr>
        <w:pStyle w:val="Notedebasdepage"/>
        <w:rPr>
          <w:lang w:val="en-US"/>
        </w:rPr>
      </w:pPr>
      <w:r w:rsidRPr="00CB6129">
        <w:rPr>
          <w:rStyle w:val="Appelnotedebasdep"/>
        </w:rPr>
        <w:footnoteRef/>
      </w:r>
      <w:r w:rsidRPr="00CB6129">
        <w:rPr>
          <w:lang w:val="en-US"/>
        </w:rPr>
        <w:t xml:space="preserve"> U.S. Department of State, “Vienna Convention on the Law of Treaties,” http://www.state.gov/s/l/treaty/faqs/70139.htm, accessed 18 July 2016.</w:t>
      </w:r>
    </w:p>
  </w:footnote>
  <w:footnote w:id="33">
    <w:p w:rsidR="00B776C9" w:rsidRPr="00CB6129" w:rsidRDefault="00B776C9">
      <w:pPr>
        <w:pStyle w:val="Notedebasdepage"/>
        <w:rPr>
          <w:lang w:val="en-US"/>
        </w:rPr>
      </w:pPr>
      <w:r w:rsidRPr="00CB6129">
        <w:rPr>
          <w:rStyle w:val="Appelnotedebasdep"/>
        </w:rPr>
        <w:footnoteRef/>
      </w:r>
      <w:r w:rsidRPr="00CB6129">
        <w:rPr>
          <w:lang w:val="en-US"/>
        </w:rPr>
        <w:t xml:space="preserve"> Memorandum from John C. </w:t>
      </w:r>
      <w:proofErr w:type="spellStart"/>
      <w:r w:rsidRPr="00CB6129">
        <w:rPr>
          <w:lang w:val="en-US"/>
        </w:rPr>
        <w:t>Yoo</w:t>
      </w:r>
      <w:proofErr w:type="spellEnd"/>
      <w:r w:rsidRPr="00CB6129">
        <w:rPr>
          <w:lang w:val="en-US"/>
        </w:rPr>
        <w:t xml:space="preserve">, Deputy Assistant Attorney General, and Robert J. </w:t>
      </w:r>
      <w:proofErr w:type="spellStart"/>
      <w:r w:rsidRPr="00CB6129">
        <w:rPr>
          <w:lang w:val="en-US"/>
        </w:rPr>
        <w:t>Delahunty</w:t>
      </w:r>
      <w:proofErr w:type="spellEnd"/>
      <w:r w:rsidRPr="00CB6129">
        <w:rPr>
          <w:lang w:val="en-US"/>
        </w:rPr>
        <w:t xml:space="preserve">, Special Counsel, to John </w:t>
      </w:r>
      <w:proofErr w:type="spellStart"/>
      <w:r w:rsidRPr="00CB6129">
        <w:rPr>
          <w:lang w:val="en-US"/>
        </w:rPr>
        <w:t>Bellinger</w:t>
      </w:r>
      <w:proofErr w:type="spellEnd"/>
      <w:r w:rsidRPr="00CB6129">
        <w:rPr>
          <w:lang w:val="en-US"/>
        </w:rPr>
        <w:t xml:space="preserve"> III, Senior Associate Counsel to the President and Legal Adviser to the National Security Council, 15 November 2001, p. 8, https://www.justice.gov/sites/default/files/olc/legacy/2009/08/24/memoabmtreaty11152001.pdf, accessed 17 July 2016.</w:t>
      </w:r>
    </w:p>
  </w:footnote>
  <w:footnote w:id="34">
    <w:p w:rsidR="00B776C9" w:rsidRPr="00CB6129" w:rsidRDefault="00B776C9">
      <w:pPr>
        <w:pStyle w:val="Notedebasdepage"/>
        <w:rPr>
          <w:lang w:val="en-US"/>
        </w:rPr>
      </w:pPr>
      <w:r w:rsidRPr="00CB6129">
        <w:rPr>
          <w:rStyle w:val="Appelnotedebasdep"/>
        </w:rPr>
        <w:footnoteRef/>
      </w:r>
      <w:r w:rsidRPr="00CB6129">
        <w:rPr>
          <w:lang w:val="en-US"/>
        </w:rPr>
        <w:t xml:space="preserve"> Glen S. </w:t>
      </w:r>
      <w:proofErr w:type="spellStart"/>
      <w:r w:rsidRPr="00CB6129">
        <w:rPr>
          <w:lang w:val="en-US"/>
        </w:rPr>
        <w:t>Krutz</w:t>
      </w:r>
      <w:proofErr w:type="spellEnd"/>
      <w:r w:rsidRPr="00CB6129">
        <w:rPr>
          <w:lang w:val="en-US"/>
        </w:rPr>
        <w:t xml:space="preserve"> and Jeffrey S. Peake, </w:t>
      </w:r>
      <w:r w:rsidRPr="00CB6129">
        <w:rPr>
          <w:i/>
          <w:lang w:val="en-US"/>
        </w:rPr>
        <w:t>Treaty Politics and the Rise of Executive Agreements: International Commitments in a System of Shared Powers</w:t>
      </w:r>
      <w:r w:rsidRPr="00CB6129">
        <w:rPr>
          <w:lang w:val="en-US"/>
        </w:rPr>
        <w:t xml:space="preserve"> (Ann Arbor: University of Michigan Press, 2009), 31.</w:t>
      </w:r>
    </w:p>
  </w:footnote>
  <w:footnote w:id="35">
    <w:p w:rsidR="00B776C9" w:rsidRPr="00CB6129" w:rsidRDefault="00B776C9" w:rsidP="005A4D42">
      <w:pPr>
        <w:pStyle w:val="Notedebasdepage"/>
        <w:rPr>
          <w:lang w:val="en-US"/>
        </w:rPr>
      </w:pPr>
      <w:r w:rsidRPr="00CB6129">
        <w:rPr>
          <w:rStyle w:val="Appelnotedebasdep"/>
        </w:rPr>
        <w:footnoteRef/>
      </w:r>
      <w:r w:rsidRPr="00CB6129">
        <w:rPr>
          <w:lang w:val="en-US"/>
        </w:rPr>
        <w:t xml:space="preserve"> The July 1903 treaty is sometimes referred to as the “Complementary agreement of the February 16/23, 1903 agreement on coaling and naval stations” (Castro, </w:t>
      </w:r>
      <w:r w:rsidRPr="00CB6129">
        <w:rPr>
          <w:i/>
          <w:lang w:val="en-US"/>
        </w:rPr>
        <w:t>Guant</w:t>
      </w:r>
      <w:r w:rsidRPr="00CB6129">
        <w:rPr>
          <w:rFonts w:cs="Times New Roman"/>
          <w:i/>
          <w:lang w:val="en-US"/>
        </w:rPr>
        <w:t>á</w:t>
      </w:r>
      <w:r w:rsidRPr="00CB6129">
        <w:rPr>
          <w:i/>
          <w:lang w:val="en-US"/>
        </w:rPr>
        <w:t>namo</w:t>
      </w:r>
      <w:r w:rsidRPr="00CB6129">
        <w:rPr>
          <w:lang w:val="en-US"/>
        </w:rPr>
        <w:t>, 129).</w:t>
      </w:r>
    </w:p>
  </w:footnote>
  <w:footnote w:id="36">
    <w:p w:rsidR="00B776C9" w:rsidRPr="00CB6129" w:rsidRDefault="00B776C9">
      <w:pPr>
        <w:pStyle w:val="Notedebasdepage"/>
      </w:pPr>
      <w:r w:rsidRPr="00CB6129">
        <w:rPr>
          <w:rStyle w:val="Appelnotedebasdep"/>
        </w:rPr>
        <w:footnoteRef/>
      </w:r>
      <w:r w:rsidRPr="00CB6129">
        <w:t xml:space="preserve"> Art. 54 (a).</w:t>
      </w:r>
    </w:p>
  </w:footnote>
  <w:footnote w:id="37">
    <w:p w:rsidR="00B776C9" w:rsidRPr="00CB6129" w:rsidRDefault="00B776C9" w:rsidP="001530E1">
      <w:pPr>
        <w:pStyle w:val="Notedebasdepage"/>
        <w:rPr>
          <w:rFonts w:cs="Times New Roman"/>
          <w:lang w:val="en-US"/>
        </w:rPr>
      </w:pPr>
      <w:r w:rsidRPr="00CB6129">
        <w:rPr>
          <w:rStyle w:val="Appelnotedebasdep"/>
          <w:rFonts w:cs="Times New Roman"/>
        </w:rPr>
        <w:footnoteRef/>
      </w:r>
      <w:r w:rsidRPr="00CB6129">
        <w:rPr>
          <w:rFonts w:cs="Times New Roman"/>
          <w:lang w:val="en-US"/>
        </w:rPr>
        <w:t xml:space="preserve"> Agreement of 16/23 February 1903, art. 1.</w:t>
      </w:r>
    </w:p>
  </w:footnote>
  <w:footnote w:id="38">
    <w:p w:rsidR="00B776C9" w:rsidRPr="00CB6129" w:rsidRDefault="00B776C9" w:rsidP="00914997">
      <w:pPr>
        <w:autoSpaceDE w:val="0"/>
        <w:autoSpaceDN w:val="0"/>
        <w:adjustRightInd w:val="0"/>
        <w:rPr>
          <w:lang w:val="en-US"/>
        </w:rPr>
      </w:pPr>
      <w:r w:rsidRPr="00CB6129">
        <w:rPr>
          <w:rStyle w:val="Appelnotedebasdep"/>
          <w:rFonts w:cs="Times New Roman"/>
          <w:sz w:val="20"/>
          <w:szCs w:val="20"/>
        </w:rPr>
        <w:footnoteRef/>
      </w:r>
      <w:r w:rsidRPr="00CB6129">
        <w:rPr>
          <w:rFonts w:cs="Times New Roman"/>
          <w:sz w:val="20"/>
          <w:szCs w:val="20"/>
          <w:lang w:val="en-US"/>
        </w:rPr>
        <w:t xml:space="preserve"> The return of control of a leased territory to the host state when the lease expires has occurred both ways. Control of Hong Kong and the Canal Zone passed to the host states (respectively China and Panama) immediately upon the expiration of the leases, while an accord in 1906 concerning the lease of the </w:t>
      </w:r>
      <w:proofErr w:type="spellStart"/>
      <w:r w:rsidRPr="00CB6129">
        <w:rPr>
          <w:rFonts w:cs="Times New Roman"/>
          <w:sz w:val="20"/>
          <w:szCs w:val="20"/>
          <w:lang w:val="en-US"/>
        </w:rPr>
        <w:t>Lado</w:t>
      </w:r>
      <w:proofErr w:type="spellEnd"/>
      <w:r w:rsidRPr="00CB6129">
        <w:rPr>
          <w:rFonts w:cs="Times New Roman"/>
          <w:sz w:val="20"/>
          <w:szCs w:val="20"/>
          <w:lang w:val="en-US"/>
        </w:rPr>
        <w:t xml:space="preserve"> Enclave in Sudan, then under British control, to King Leopold II of Belgium stated that “(w)</w:t>
      </w:r>
      <w:proofErr w:type="spellStart"/>
      <w:r w:rsidRPr="00CB6129">
        <w:rPr>
          <w:rFonts w:eastAsia="Brill-Roman" w:cs="Times New Roman"/>
          <w:sz w:val="20"/>
          <w:szCs w:val="20"/>
          <w:lang w:val="en-US"/>
        </w:rPr>
        <w:t>ithin</w:t>
      </w:r>
      <w:proofErr w:type="spellEnd"/>
      <w:r w:rsidRPr="00CB6129">
        <w:rPr>
          <w:rFonts w:eastAsia="Brill-Roman" w:cs="Times New Roman"/>
          <w:sz w:val="20"/>
          <w:szCs w:val="20"/>
          <w:lang w:val="en-US"/>
        </w:rPr>
        <w:t xml:space="preserve"> six months of the termination of His Majesty’s occupation the Enclave shall be handed over to the Soudanese Government</w:t>
      </w:r>
      <w:r w:rsidRPr="00CB6129">
        <w:rPr>
          <w:rFonts w:cs="Times New Roman"/>
          <w:sz w:val="20"/>
          <w:szCs w:val="20"/>
          <w:lang w:val="en-US"/>
        </w:rPr>
        <w:t>” (</w:t>
      </w:r>
      <w:r w:rsidRPr="00CB6129">
        <w:rPr>
          <w:rFonts w:eastAsia="Brill-Roman" w:cs="Times New Roman"/>
          <w:sz w:val="20"/>
          <w:szCs w:val="20"/>
          <w:lang w:val="en-US"/>
        </w:rPr>
        <w:t xml:space="preserve">Agreement between Great Britain and the Independent State of the Congo, modifying the Agreement signed at Brussels, 12th May 1894 (1906), art. 1, in Edward </w:t>
      </w:r>
      <w:proofErr w:type="spellStart"/>
      <w:r w:rsidRPr="00CB6129">
        <w:rPr>
          <w:rFonts w:eastAsia="Brill-Roman" w:cs="Times New Roman"/>
          <w:sz w:val="20"/>
          <w:szCs w:val="20"/>
          <w:lang w:val="en-US"/>
        </w:rPr>
        <w:t>Hertslet</w:t>
      </w:r>
      <w:proofErr w:type="spellEnd"/>
      <w:r w:rsidRPr="00CB6129">
        <w:rPr>
          <w:rFonts w:eastAsia="Brill-Roman" w:cs="Times New Roman"/>
          <w:sz w:val="20"/>
          <w:szCs w:val="20"/>
          <w:lang w:val="en-US"/>
        </w:rPr>
        <w:t xml:space="preserve">, </w:t>
      </w:r>
      <w:r w:rsidRPr="00CB6129">
        <w:rPr>
          <w:rFonts w:eastAsia="Brill-Roman" w:cs="Times New Roman"/>
          <w:i/>
          <w:sz w:val="20"/>
          <w:szCs w:val="20"/>
          <w:lang w:val="en-US"/>
        </w:rPr>
        <w:t>The Map of Africa by Treaty</w:t>
      </w:r>
      <w:r w:rsidRPr="00CB6129">
        <w:rPr>
          <w:rFonts w:eastAsia="Brill-Roman" w:cs="Times New Roman"/>
          <w:sz w:val="20"/>
          <w:szCs w:val="20"/>
          <w:lang w:val="en-US"/>
        </w:rPr>
        <w:t>, vol. 2, 3rd ed. (London: Routledge, 1967), 584).</w:t>
      </w:r>
    </w:p>
  </w:footnote>
  <w:footnote w:id="39">
    <w:p w:rsidR="00B776C9" w:rsidRPr="00CB6129" w:rsidRDefault="00B776C9" w:rsidP="00097829">
      <w:pPr>
        <w:autoSpaceDE w:val="0"/>
        <w:autoSpaceDN w:val="0"/>
        <w:adjustRightInd w:val="0"/>
        <w:rPr>
          <w:lang w:val="en-US"/>
        </w:rPr>
      </w:pPr>
      <w:r w:rsidRPr="00CB6129">
        <w:rPr>
          <w:rStyle w:val="Appelnotedebasdep"/>
          <w:rFonts w:cs="Times New Roman"/>
          <w:sz w:val="20"/>
          <w:szCs w:val="20"/>
        </w:rPr>
        <w:footnoteRef/>
      </w:r>
      <w:r w:rsidRPr="00CB6129">
        <w:rPr>
          <w:rFonts w:cs="Times New Roman"/>
          <w:sz w:val="20"/>
          <w:szCs w:val="20"/>
          <w:lang w:val="en-US"/>
        </w:rPr>
        <w:t xml:space="preserve"> Daniel F. McCallum, “Why GTMO?” research paper, U.S. National War College, 2003, 2-8. http://handle.dtic.mil/100.2/ADA442074, accessed 20 July 2016. The decision was not entirely military, having been made by a working group led by the Department of Defense and including the Department of Justice (with the Federal Bureau of Investigation), the Department of State, the Central Intelligence Agency and the National Security Council.</w:t>
      </w:r>
    </w:p>
  </w:footnote>
  <w:footnote w:id="40">
    <w:p w:rsidR="00B776C9" w:rsidRPr="00CB6129" w:rsidRDefault="00B776C9" w:rsidP="00EE1ED1">
      <w:pPr>
        <w:autoSpaceDE w:val="0"/>
        <w:autoSpaceDN w:val="0"/>
        <w:adjustRightInd w:val="0"/>
        <w:rPr>
          <w:lang w:val="en-US"/>
        </w:rPr>
      </w:pPr>
      <w:r w:rsidRPr="00CB6129">
        <w:rPr>
          <w:rStyle w:val="Appelnotedebasdep"/>
          <w:rFonts w:cs="Times New Roman"/>
          <w:sz w:val="20"/>
          <w:szCs w:val="20"/>
        </w:rPr>
        <w:footnoteRef/>
      </w:r>
      <w:r w:rsidRPr="00CB6129">
        <w:rPr>
          <w:rFonts w:cs="Times New Roman"/>
          <w:sz w:val="20"/>
          <w:szCs w:val="20"/>
          <w:lang w:val="en-US"/>
        </w:rPr>
        <w:t xml:space="preserve"> Kathleen T. </w:t>
      </w:r>
      <w:proofErr w:type="spellStart"/>
      <w:r w:rsidRPr="00CB6129">
        <w:rPr>
          <w:rFonts w:cs="Times New Roman"/>
          <w:sz w:val="20"/>
          <w:szCs w:val="20"/>
          <w:lang w:val="en-US"/>
        </w:rPr>
        <w:t>Rhem</w:t>
      </w:r>
      <w:proofErr w:type="spellEnd"/>
      <w:r w:rsidRPr="00CB6129">
        <w:rPr>
          <w:rFonts w:cs="Times New Roman"/>
          <w:sz w:val="20"/>
          <w:szCs w:val="20"/>
          <w:lang w:val="en-US"/>
        </w:rPr>
        <w:t xml:space="preserve">, “Guantanamo Bay Has Storied Past,” </w:t>
      </w:r>
      <w:r w:rsidRPr="00CB6129">
        <w:rPr>
          <w:rFonts w:cs="Times New Roman"/>
          <w:i/>
          <w:iCs/>
          <w:sz w:val="20"/>
          <w:szCs w:val="20"/>
          <w:lang w:val="en-US"/>
        </w:rPr>
        <w:t>American Forces Press Service News Articles</w:t>
      </w:r>
      <w:r w:rsidRPr="00CB6129">
        <w:rPr>
          <w:rFonts w:cs="Times New Roman"/>
          <w:sz w:val="20"/>
          <w:szCs w:val="20"/>
          <w:lang w:val="en-US"/>
        </w:rPr>
        <w:t>, U.S. Department of Defense, August 24, 2004.</w:t>
      </w:r>
    </w:p>
  </w:footnote>
  <w:footnote w:id="41">
    <w:p w:rsidR="00B776C9" w:rsidRPr="00CB6129" w:rsidRDefault="00B776C9" w:rsidP="00EE1ED1">
      <w:pPr>
        <w:autoSpaceDE w:val="0"/>
        <w:autoSpaceDN w:val="0"/>
        <w:adjustRightInd w:val="0"/>
        <w:rPr>
          <w:lang w:val="en-US"/>
        </w:rPr>
      </w:pPr>
      <w:r w:rsidRPr="00CB6129">
        <w:rPr>
          <w:rStyle w:val="Appelnotedebasdep"/>
          <w:rFonts w:cs="Times New Roman"/>
          <w:sz w:val="20"/>
          <w:szCs w:val="20"/>
        </w:rPr>
        <w:footnoteRef/>
      </w:r>
      <w:r w:rsidRPr="00CB6129">
        <w:rPr>
          <w:rFonts w:cs="Times New Roman"/>
          <w:sz w:val="20"/>
          <w:szCs w:val="20"/>
          <w:lang w:val="en-US"/>
        </w:rPr>
        <w:t xml:space="preserve"> Cuban Liberty and Democratic Solidarity (Libertad) Act [“Helms-Burton Act”], P.L. 104–114, 110 Stat 785 (1996).</w:t>
      </w:r>
    </w:p>
  </w:footnote>
  <w:footnote w:id="42">
    <w:p w:rsidR="00B776C9" w:rsidRPr="00CB6129" w:rsidRDefault="00B776C9">
      <w:pPr>
        <w:pStyle w:val="Notedebasdepage"/>
        <w:rPr>
          <w:lang w:val="en-US"/>
        </w:rPr>
      </w:pPr>
      <w:r w:rsidRPr="00CB6129">
        <w:rPr>
          <w:rStyle w:val="Appelnotedebasdep"/>
        </w:rPr>
        <w:footnoteRef/>
      </w:r>
      <w:r w:rsidRPr="00CB6129">
        <w:rPr>
          <w:lang w:val="en-US"/>
        </w:rPr>
        <w:t xml:space="preserve"> Andrew </w:t>
      </w:r>
      <w:proofErr w:type="spellStart"/>
      <w:r w:rsidRPr="00CB6129">
        <w:rPr>
          <w:lang w:val="en-US"/>
        </w:rPr>
        <w:t>Tilghman</w:t>
      </w:r>
      <w:proofErr w:type="spellEnd"/>
      <w:r w:rsidRPr="00CB6129">
        <w:rPr>
          <w:lang w:val="en-US"/>
        </w:rPr>
        <w:t xml:space="preserve">, </w:t>
      </w:r>
      <w:r w:rsidRPr="00CB6129">
        <w:rPr>
          <w:rFonts w:cs="Times New Roman"/>
          <w:lang w:val="en-US"/>
        </w:rPr>
        <w:t>“</w:t>
      </w:r>
      <w:r w:rsidRPr="00CB6129">
        <w:rPr>
          <w:lang w:val="en-US"/>
        </w:rPr>
        <w:t xml:space="preserve">The Pentagon threatened Congress: We’ll close bases without you,” </w:t>
      </w:r>
      <w:r w:rsidRPr="00CB6129">
        <w:rPr>
          <w:i/>
          <w:lang w:val="en-US"/>
        </w:rPr>
        <w:t>Military Times</w:t>
      </w:r>
      <w:r w:rsidRPr="00CB6129">
        <w:rPr>
          <w:lang w:val="en-US"/>
        </w:rPr>
        <w:t>, 19 April 2016.</w:t>
      </w:r>
    </w:p>
  </w:footnote>
  <w:footnote w:id="43">
    <w:p w:rsidR="00B776C9" w:rsidRPr="00CB6129" w:rsidRDefault="00B776C9">
      <w:pPr>
        <w:pStyle w:val="Notedebasdepage"/>
        <w:rPr>
          <w:lang w:val="en-US"/>
        </w:rPr>
      </w:pPr>
      <w:r w:rsidRPr="00CB6129">
        <w:rPr>
          <w:rStyle w:val="Appelnotedebasdep"/>
        </w:rPr>
        <w:footnoteRef/>
      </w:r>
      <w:r w:rsidRPr="00CB6129">
        <w:rPr>
          <w:lang w:val="en-US"/>
        </w:rPr>
        <w:t xml:space="preserve"> The analogous laws at the national and sub-national level involve the abandonment of property. In international law, the analogy is with sovereign territory: “(T</w:t>
      </w:r>
      <w:proofErr w:type="gramStart"/>
      <w:r w:rsidRPr="00CB6129">
        <w:rPr>
          <w:lang w:val="en-US"/>
        </w:rPr>
        <w:t>)</w:t>
      </w:r>
      <w:proofErr w:type="spellStart"/>
      <w:r w:rsidRPr="00CB6129">
        <w:rPr>
          <w:lang w:val="en-US"/>
        </w:rPr>
        <w:t>erritory</w:t>
      </w:r>
      <w:proofErr w:type="spellEnd"/>
      <w:proofErr w:type="gramEnd"/>
      <w:r w:rsidRPr="00CB6129">
        <w:rPr>
          <w:lang w:val="en-US"/>
        </w:rPr>
        <w:t xml:space="preserve"> may be abandoned, but in order for this to operate both the physical act of abandonment and the intention to surrender title are required” (Malcolm N. Shaw, </w:t>
      </w:r>
      <w:r w:rsidRPr="00CB6129">
        <w:rPr>
          <w:i/>
          <w:lang w:val="en-US"/>
        </w:rPr>
        <w:t>International Law</w:t>
      </w:r>
      <w:r w:rsidRPr="00CB6129">
        <w:rPr>
          <w:lang w:val="en-US"/>
        </w:rPr>
        <w:t xml:space="preserve">, 7th ed. (Cambridge, U.K.: Cambridge University Press, 2014), 377). </w:t>
      </w:r>
    </w:p>
  </w:footnote>
  <w:footnote w:id="44">
    <w:p w:rsidR="00B776C9" w:rsidRPr="00CB6129" w:rsidRDefault="00B776C9">
      <w:pPr>
        <w:pStyle w:val="Notedebasdepage"/>
        <w:rPr>
          <w:rFonts w:cs="Times New Roman"/>
          <w:highlight w:val="yellow"/>
        </w:rPr>
      </w:pPr>
      <w:r w:rsidRPr="00CB6129">
        <w:rPr>
          <w:rStyle w:val="Appelnotedebasdep"/>
          <w:rFonts w:cs="Times New Roman"/>
        </w:rPr>
        <w:footnoteRef/>
      </w:r>
      <w:r w:rsidRPr="00CB6129">
        <w:rPr>
          <w:rFonts w:cs="Times New Roman"/>
        </w:rPr>
        <w:t xml:space="preserve"> Luis Machado y Ortega, </w:t>
      </w:r>
      <w:r w:rsidRPr="00CB6129">
        <w:rPr>
          <w:rFonts w:cs="Times New Roman"/>
          <w:i/>
        </w:rPr>
        <w:t xml:space="preserve">La </w:t>
      </w:r>
      <w:proofErr w:type="spellStart"/>
      <w:r w:rsidRPr="00CB6129">
        <w:rPr>
          <w:rFonts w:cs="Times New Roman"/>
          <w:i/>
        </w:rPr>
        <w:t>Enmienda</w:t>
      </w:r>
      <w:proofErr w:type="spellEnd"/>
      <w:r w:rsidRPr="00CB6129">
        <w:rPr>
          <w:rFonts w:cs="Times New Roman"/>
          <w:i/>
        </w:rPr>
        <w:t xml:space="preserve"> </w:t>
      </w:r>
      <w:proofErr w:type="spellStart"/>
      <w:r w:rsidRPr="00CB6129">
        <w:rPr>
          <w:rFonts w:cs="Times New Roman"/>
          <w:i/>
        </w:rPr>
        <w:t>Platt</w:t>
      </w:r>
      <w:proofErr w:type="spellEnd"/>
      <w:r w:rsidRPr="00CB6129">
        <w:rPr>
          <w:rFonts w:cs="Times New Roman"/>
        </w:rPr>
        <w:t xml:space="preserve"> (</w:t>
      </w:r>
      <w:proofErr w:type="spellStart"/>
      <w:r w:rsidRPr="00CB6129">
        <w:rPr>
          <w:rFonts w:cs="Times New Roman"/>
        </w:rPr>
        <w:t>Havana</w:t>
      </w:r>
      <w:proofErr w:type="spellEnd"/>
      <w:r w:rsidRPr="00CB6129">
        <w:rPr>
          <w:rFonts w:cs="Times New Roman"/>
        </w:rPr>
        <w:t xml:space="preserve">: </w:t>
      </w:r>
      <w:proofErr w:type="spellStart"/>
      <w:r w:rsidRPr="00CB6129">
        <w:rPr>
          <w:rFonts w:cs="Times New Roman"/>
        </w:rPr>
        <w:t>Siglo</w:t>
      </w:r>
      <w:proofErr w:type="spellEnd"/>
      <w:r w:rsidRPr="00CB6129">
        <w:rPr>
          <w:rFonts w:cs="Times New Roman"/>
        </w:rPr>
        <w:t xml:space="preserve"> XX, 1922), 51.</w:t>
      </w:r>
    </w:p>
  </w:footnote>
  <w:footnote w:id="45">
    <w:p w:rsidR="00B776C9" w:rsidRPr="00CB6129" w:rsidRDefault="00B776C9">
      <w:pPr>
        <w:pStyle w:val="Notedebasdepage"/>
        <w:rPr>
          <w:lang w:val="en-US"/>
        </w:rPr>
      </w:pPr>
      <w:r w:rsidRPr="00CB6129">
        <w:rPr>
          <w:rStyle w:val="Appelnotedebasdep"/>
        </w:rPr>
        <w:footnoteRef/>
      </w:r>
      <w:r w:rsidRPr="00CB6129">
        <w:rPr>
          <w:lang w:val="en-US"/>
        </w:rPr>
        <w:t xml:space="preserve"> Dominic D.P. Johnson and Dominic Tierney, </w:t>
      </w:r>
      <w:r w:rsidRPr="00CB6129">
        <w:rPr>
          <w:i/>
          <w:lang w:val="en-US"/>
        </w:rPr>
        <w:t xml:space="preserve">Failing to Win: Perceptions of Victory and Defeat in International Politics </w:t>
      </w:r>
      <w:r w:rsidRPr="00CB6129">
        <w:rPr>
          <w:lang w:val="en-US"/>
        </w:rPr>
        <w:t>(Cambridge, Mass.: Harvard University Press, 2006), 153.</w:t>
      </w:r>
    </w:p>
  </w:footnote>
  <w:footnote w:id="46">
    <w:p w:rsidR="00B776C9" w:rsidRPr="00CB6129" w:rsidRDefault="00B776C9">
      <w:pPr>
        <w:pStyle w:val="Notedebasdepage"/>
        <w:rPr>
          <w:lang w:val="en-US"/>
        </w:rPr>
      </w:pPr>
      <w:r w:rsidRPr="00CB6129">
        <w:rPr>
          <w:rStyle w:val="Appelnotedebasdep"/>
        </w:rPr>
        <w:footnoteRef/>
      </w:r>
      <w:r w:rsidRPr="00CB6129">
        <w:rPr>
          <w:lang w:val="en-US"/>
        </w:rPr>
        <w:t xml:space="preserve"> Art. IV, sec. 3.</w:t>
      </w:r>
    </w:p>
  </w:footnote>
  <w:footnote w:id="47">
    <w:p w:rsidR="00B776C9" w:rsidRPr="00CB6129" w:rsidRDefault="00B776C9">
      <w:pPr>
        <w:pStyle w:val="Notedebasdepage"/>
        <w:rPr>
          <w:rFonts w:cs="Times New Roman"/>
          <w:lang w:val="en-US"/>
        </w:rPr>
      </w:pPr>
      <w:r w:rsidRPr="00CB6129">
        <w:rPr>
          <w:rStyle w:val="Appelnotedebasdep"/>
          <w:rFonts w:cs="Times New Roman"/>
        </w:rPr>
        <w:footnoteRef/>
      </w:r>
      <w:r w:rsidRPr="00CB6129">
        <w:rPr>
          <w:rFonts w:cs="Times New Roman"/>
          <w:lang w:val="en-US"/>
        </w:rPr>
        <w:t xml:space="preserve"> P.L. 82–414, 66 Stat 163 (1952).</w:t>
      </w:r>
    </w:p>
  </w:footnote>
  <w:footnote w:id="48">
    <w:p w:rsidR="00B776C9" w:rsidRPr="00CB6129" w:rsidRDefault="00B776C9">
      <w:pPr>
        <w:pStyle w:val="Notedebasdepage"/>
        <w:rPr>
          <w:lang w:val="en-US"/>
        </w:rPr>
      </w:pPr>
      <w:r w:rsidRPr="00CB6129">
        <w:rPr>
          <w:rStyle w:val="Appelnotedebasdep"/>
        </w:rPr>
        <w:footnoteRef/>
      </w:r>
      <w:r w:rsidRPr="00CB6129">
        <w:rPr>
          <w:lang w:val="en-US"/>
        </w:rPr>
        <w:t xml:space="preserve"> Edwards v. Carter, 580 F.2d 1055 (D.C. Cir, 1978). See, e.g., Raoul Berger, “Must the House Consent to Cession of the Panama Canal?” Cornell Law Review 64 (2), 1979, 275-318. </w:t>
      </w:r>
    </w:p>
  </w:footnote>
  <w:footnote w:id="49">
    <w:p w:rsidR="00B776C9" w:rsidRPr="00CB6129" w:rsidRDefault="00B776C9">
      <w:pPr>
        <w:pStyle w:val="Notedebasdepage"/>
        <w:rPr>
          <w:rFonts w:cs="Times New Roman"/>
          <w:lang w:val="en-US"/>
        </w:rPr>
      </w:pPr>
      <w:r w:rsidRPr="00CB6129">
        <w:rPr>
          <w:rStyle w:val="Appelnotedebasdep"/>
          <w:rFonts w:cs="Times New Roman"/>
        </w:rPr>
        <w:footnoteRef/>
      </w:r>
      <w:r w:rsidRPr="00CB6129">
        <w:rPr>
          <w:rFonts w:cs="Times New Roman"/>
          <w:lang w:val="en-US"/>
        </w:rPr>
        <w:t xml:space="preserve"> Executive Order 13492, “</w:t>
      </w:r>
      <w:r w:rsidRPr="00CB6129">
        <w:rPr>
          <w:rFonts w:cs="Times New Roman"/>
          <w:shd w:val="clear" w:color="auto" w:fill="FFFFFF"/>
          <w:lang w:val="en-US"/>
        </w:rPr>
        <w:t>Review and Disposition of Individuals Detained at the Guantanamo Bay Naval Base and Close of Detention Facilities,” 22 January 2009.</w:t>
      </w:r>
    </w:p>
  </w:footnote>
  <w:footnote w:id="50">
    <w:p w:rsidR="00B776C9" w:rsidRPr="00CB6129" w:rsidRDefault="00B776C9">
      <w:pPr>
        <w:pStyle w:val="Notedebasdepage"/>
        <w:rPr>
          <w:lang w:val="en-US"/>
        </w:rPr>
      </w:pPr>
      <w:r w:rsidRPr="00CB6129">
        <w:rPr>
          <w:rStyle w:val="Appelnotedebasdep"/>
        </w:rPr>
        <w:footnoteRef/>
      </w:r>
      <w:r w:rsidRPr="00CB6129">
        <w:rPr>
          <w:lang w:val="en-US"/>
        </w:rPr>
        <w:t xml:space="preserve"> Michael J. Strauss, </w:t>
      </w:r>
      <w:r w:rsidRPr="00CB6129">
        <w:rPr>
          <w:i/>
          <w:lang w:val="en-US"/>
        </w:rPr>
        <w:t>Territorial Leasing in Diplomacy and International Law</w:t>
      </w:r>
      <w:r w:rsidRPr="00CB6129">
        <w:rPr>
          <w:lang w:val="en-US"/>
        </w:rPr>
        <w:t xml:space="preserve"> (Leiden: Brill, 2015), 173-80.</w:t>
      </w:r>
    </w:p>
  </w:footnote>
  <w:footnote w:id="51">
    <w:p w:rsidR="00B776C9" w:rsidRPr="00CB6129" w:rsidRDefault="00B776C9" w:rsidP="0008033F">
      <w:pPr>
        <w:autoSpaceDE w:val="0"/>
        <w:autoSpaceDN w:val="0"/>
        <w:adjustRightInd w:val="0"/>
        <w:rPr>
          <w:rFonts w:cs="Times New Roman"/>
          <w:sz w:val="20"/>
          <w:szCs w:val="20"/>
          <w:lang w:val="en-US"/>
        </w:rPr>
      </w:pPr>
      <w:r w:rsidRPr="00CB6129">
        <w:rPr>
          <w:rStyle w:val="Appelnotedebasdep"/>
          <w:sz w:val="20"/>
          <w:szCs w:val="20"/>
        </w:rPr>
        <w:footnoteRef/>
      </w:r>
      <w:r w:rsidRPr="00CB6129">
        <w:rPr>
          <w:sz w:val="20"/>
          <w:szCs w:val="20"/>
          <w:lang w:val="en-US"/>
        </w:rPr>
        <w:t xml:space="preserve"> </w:t>
      </w:r>
      <w:r w:rsidRPr="00CB6129">
        <w:rPr>
          <w:rFonts w:eastAsia="Brill-Roman" w:cs="Times New Roman"/>
          <w:sz w:val="20"/>
          <w:szCs w:val="20"/>
          <w:lang w:val="en-US"/>
        </w:rPr>
        <w:t>Joint Declaration of the Government of the United Kingdom of Great Britain and Northern Ireland and the Government of the People’s Republic of China on the Question of Hong Kong [“Sino-British Joint Declaration on Hong Kong”], 19 December 1984, 1399 U.N.T.S. 61, para. 3 (3) and (12).</w:t>
      </w:r>
    </w:p>
  </w:footnote>
  <w:footnote w:id="52">
    <w:p w:rsidR="00B776C9" w:rsidRPr="00CB6129" w:rsidRDefault="00B776C9">
      <w:pPr>
        <w:pStyle w:val="Notedebasdepage"/>
        <w:rPr>
          <w:lang w:val="en-US"/>
        </w:rPr>
      </w:pPr>
      <w:r w:rsidRPr="00CB6129">
        <w:rPr>
          <w:rStyle w:val="Appelnotedebasdep"/>
        </w:rPr>
        <w:footnoteRef/>
      </w:r>
      <w:r w:rsidRPr="00CB6129">
        <w:rPr>
          <w:lang w:val="en-US"/>
        </w:rPr>
        <w:t xml:space="preserve"> Human Rights First, </w:t>
      </w:r>
      <w:r w:rsidRPr="00CB6129">
        <w:rPr>
          <w:rFonts w:eastAsia="Brill-Roman" w:cs="Times New Roman"/>
          <w:lang w:val="en-US"/>
        </w:rPr>
        <w:t>“</w:t>
      </w:r>
      <w:r w:rsidRPr="00CB6129">
        <w:rPr>
          <w:lang w:val="en-US"/>
        </w:rPr>
        <w:t>Guantanamo by the Numbers,” http://www.humanrightsfirst.org/resource/guantanamo-numbers, accessed 20 July 2016.</w:t>
      </w:r>
    </w:p>
  </w:footnote>
  <w:footnote w:id="53">
    <w:p w:rsidR="00B776C9" w:rsidRPr="00CB6129" w:rsidRDefault="00B776C9">
      <w:pPr>
        <w:pStyle w:val="Notedebasdepage"/>
        <w:rPr>
          <w:lang w:val="en-US"/>
        </w:rPr>
      </w:pPr>
      <w:r w:rsidRPr="00CB6129">
        <w:rPr>
          <w:rStyle w:val="Appelnotedebasdep"/>
        </w:rPr>
        <w:footnoteRef/>
      </w:r>
      <w:r w:rsidRPr="00CB6129">
        <w:rPr>
          <w:lang w:val="en-US"/>
        </w:rPr>
        <w:t xml:space="preserve"> U.S. Department of State, “Cuba 2013 Human Rights Report,” 8, http://www.state.gov/documents/organization/220646.pdf, accessed 18 July 2016.</w:t>
      </w:r>
    </w:p>
  </w:footnote>
  <w:footnote w:id="54">
    <w:p w:rsidR="00B776C9" w:rsidRPr="00CB6129" w:rsidRDefault="00B776C9">
      <w:pPr>
        <w:pStyle w:val="Notedebasdepage"/>
        <w:rPr>
          <w:lang w:val="en-US"/>
        </w:rPr>
      </w:pPr>
      <w:r w:rsidRPr="00CB6129">
        <w:rPr>
          <w:rStyle w:val="Appelnotedebasdep"/>
        </w:rPr>
        <w:footnoteRef/>
      </w:r>
      <w:r w:rsidRPr="00CB6129">
        <w:rPr>
          <w:lang w:val="en-US"/>
        </w:rPr>
        <w:t xml:space="preserve"> Restrictions on prisoners’ access to legal counsel have been a recurring theme since the prison’s creation. See, </w:t>
      </w:r>
      <w:r w:rsidRPr="00CB6129">
        <w:rPr>
          <w:i/>
          <w:lang w:val="en-US"/>
        </w:rPr>
        <w:t>e.g</w:t>
      </w:r>
      <w:r w:rsidRPr="00CB6129">
        <w:rPr>
          <w:lang w:val="en-US"/>
        </w:rPr>
        <w:t xml:space="preserve">., Mark P. </w:t>
      </w:r>
      <w:proofErr w:type="spellStart"/>
      <w:r w:rsidRPr="00CB6129">
        <w:rPr>
          <w:lang w:val="en-US"/>
        </w:rPr>
        <w:t>Denbeaux</w:t>
      </w:r>
      <w:proofErr w:type="spellEnd"/>
      <w:r w:rsidRPr="00CB6129">
        <w:rPr>
          <w:lang w:val="en-US"/>
        </w:rPr>
        <w:t xml:space="preserve"> and </w:t>
      </w:r>
      <w:proofErr w:type="spellStart"/>
      <w:r w:rsidRPr="00CB6129">
        <w:rPr>
          <w:lang w:val="en-US"/>
        </w:rPr>
        <w:t>Johathan</w:t>
      </w:r>
      <w:proofErr w:type="spellEnd"/>
      <w:r w:rsidRPr="00CB6129">
        <w:rPr>
          <w:lang w:val="en-US"/>
        </w:rPr>
        <w:t xml:space="preserve"> </w:t>
      </w:r>
      <w:proofErr w:type="spellStart"/>
      <w:r w:rsidRPr="00CB6129">
        <w:rPr>
          <w:lang w:val="en-US"/>
        </w:rPr>
        <w:t>Hafetz</w:t>
      </w:r>
      <w:proofErr w:type="spellEnd"/>
      <w:r w:rsidRPr="00CB6129">
        <w:rPr>
          <w:lang w:val="en-US"/>
        </w:rPr>
        <w:t xml:space="preserve">, eds., </w:t>
      </w:r>
      <w:r w:rsidRPr="00CB6129">
        <w:rPr>
          <w:i/>
          <w:lang w:val="en-US"/>
        </w:rPr>
        <w:t>The Guantanamo Lawyers</w:t>
      </w:r>
      <w:r w:rsidRPr="00CB6129">
        <w:rPr>
          <w:lang w:val="en-US"/>
        </w:rPr>
        <w:t xml:space="preserve"> (New York: New York University Press, 2009).</w:t>
      </w:r>
    </w:p>
  </w:footnote>
  <w:footnote w:id="55">
    <w:p w:rsidR="00B776C9" w:rsidRPr="00CB6129" w:rsidRDefault="00B776C9">
      <w:pPr>
        <w:pStyle w:val="Notedebasdepage"/>
        <w:rPr>
          <w:lang w:val="en-US"/>
        </w:rPr>
      </w:pPr>
      <w:r w:rsidRPr="00CB6129">
        <w:rPr>
          <w:rStyle w:val="Appelnotedebasdep"/>
        </w:rPr>
        <w:footnoteRef/>
      </w:r>
      <w:r w:rsidRPr="00CB6129">
        <w:rPr>
          <w:lang w:val="en-US"/>
        </w:rPr>
        <w:t xml:space="preserve"> U.S. Department of State, “Saudi Arabia 2015 Human Rights Report,” http://www.state.gov/documents/organization/253157.pdf, accessed 20 July 2016.</w:t>
      </w:r>
    </w:p>
  </w:footnote>
  <w:footnote w:id="56">
    <w:p w:rsidR="00526571" w:rsidRPr="00526571" w:rsidRDefault="00526571">
      <w:pPr>
        <w:pStyle w:val="Notedebasdepage"/>
        <w:rPr>
          <w:lang w:val="en-US"/>
        </w:rPr>
      </w:pPr>
      <w:r>
        <w:rPr>
          <w:rStyle w:val="Appelnotedebasdep"/>
        </w:rPr>
        <w:footnoteRef/>
      </w:r>
      <w:r w:rsidRPr="00526571">
        <w:rPr>
          <w:lang w:val="en-US"/>
        </w:rPr>
        <w:t xml:space="preserve"> </w:t>
      </w:r>
      <w:r w:rsidRPr="00C75519">
        <w:rPr>
          <w:lang w:val="en-US"/>
        </w:rPr>
        <w:t xml:space="preserve">Jean-Paul </w:t>
      </w:r>
      <w:proofErr w:type="spellStart"/>
      <w:r w:rsidRPr="00C75519">
        <w:rPr>
          <w:lang w:val="en-US"/>
        </w:rPr>
        <w:t>Rodrigue</w:t>
      </w:r>
      <w:proofErr w:type="spellEnd"/>
      <w:r w:rsidRPr="00C75519">
        <w:rPr>
          <w:lang w:val="en-US"/>
        </w:rPr>
        <w:t xml:space="preserve"> and Joseph Schulman, </w:t>
      </w:r>
      <w:r>
        <w:rPr>
          <w:lang w:val="en-US"/>
        </w:rPr>
        <w:t xml:space="preserve">“The Economic Impacts of Port Investments,” in </w:t>
      </w:r>
      <w:r w:rsidRPr="00C75519">
        <w:rPr>
          <w:i/>
          <w:lang w:val="en-US"/>
        </w:rPr>
        <w:t>The Geography of Transport Systems</w:t>
      </w:r>
      <w:r w:rsidRPr="00C75519">
        <w:rPr>
          <w:lang w:val="en-US"/>
        </w:rPr>
        <w:t xml:space="preserve">, </w:t>
      </w:r>
      <w:r>
        <w:rPr>
          <w:lang w:val="en-US"/>
        </w:rPr>
        <w:t xml:space="preserve">ed. Jean-Paul </w:t>
      </w:r>
      <w:proofErr w:type="spellStart"/>
      <w:r>
        <w:rPr>
          <w:lang w:val="en-US"/>
        </w:rPr>
        <w:t>Rodrigue</w:t>
      </w:r>
      <w:proofErr w:type="spellEnd"/>
      <w:r>
        <w:rPr>
          <w:lang w:val="en-US"/>
        </w:rPr>
        <w:t xml:space="preserve">, </w:t>
      </w:r>
      <w:r w:rsidRPr="00C75519">
        <w:rPr>
          <w:lang w:val="en-US"/>
        </w:rPr>
        <w:t>3rd ed. (New York: Routledge, 2013),</w:t>
      </w:r>
      <w:r>
        <w:rPr>
          <w:lang w:val="en-US"/>
        </w:rPr>
        <w:t xml:space="preserve"> </w:t>
      </w:r>
      <w:r w:rsidRPr="00526571">
        <w:rPr>
          <w:lang w:val="en-US"/>
        </w:rPr>
        <w:t>https://people.hofstra.edu/geotrans/eng/ch7en/appl7en/ch7a5en.html</w:t>
      </w:r>
      <w:r>
        <w:rPr>
          <w:lang w:val="en-US"/>
        </w:rPr>
        <w:t>, accessed 19 July 2016.</w:t>
      </w:r>
    </w:p>
  </w:footnote>
  <w:footnote w:id="57">
    <w:p w:rsidR="00B776C9" w:rsidRPr="00EC58EE" w:rsidRDefault="00B776C9" w:rsidP="00B776C9">
      <w:pPr>
        <w:pStyle w:val="Notedebasdepage"/>
        <w:rPr>
          <w:lang w:val="en-US"/>
        </w:rPr>
      </w:pPr>
      <w:r w:rsidRPr="00C75519">
        <w:rPr>
          <w:rStyle w:val="Appelnotedebasdep"/>
        </w:rPr>
        <w:footnoteRef/>
      </w:r>
      <w:r w:rsidRPr="00C75519">
        <w:rPr>
          <w:lang w:val="en-US"/>
        </w:rPr>
        <w:t xml:space="preserve"> </w:t>
      </w:r>
      <w:proofErr w:type="spellStart"/>
      <w:r w:rsidR="00526571" w:rsidRPr="00A51F8D">
        <w:rPr>
          <w:i/>
          <w:lang w:val="en-US"/>
        </w:rPr>
        <w:t>Ibid</w:t>
      </w:r>
      <w:r w:rsidR="00526571">
        <w:rPr>
          <w:lang w:val="en-US"/>
        </w:rPr>
        <w:t>.</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1616B"/>
    <w:multiLevelType w:val="hybridMultilevel"/>
    <w:tmpl w:val="2B42D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AD038B"/>
    <w:multiLevelType w:val="hybridMultilevel"/>
    <w:tmpl w:val="8EBC6AD8"/>
    <w:lvl w:ilvl="0" w:tplc="3E0A93F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7ECF0E22"/>
    <w:multiLevelType w:val="hybridMultilevel"/>
    <w:tmpl w:val="6C44D2C6"/>
    <w:lvl w:ilvl="0" w:tplc="9FF4FF44">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61"/>
    <w:rsid w:val="00013E65"/>
    <w:rsid w:val="000149B3"/>
    <w:rsid w:val="000378A4"/>
    <w:rsid w:val="00043C89"/>
    <w:rsid w:val="0004587A"/>
    <w:rsid w:val="00050F14"/>
    <w:rsid w:val="00063272"/>
    <w:rsid w:val="00064F84"/>
    <w:rsid w:val="0008033F"/>
    <w:rsid w:val="00097829"/>
    <w:rsid w:val="000B25B4"/>
    <w:rsid w:val="000B2C21"/>
    <w:rsid w:val="000C0919"/>
    <w:rsid w:val="000D4A78"/>
    <w:rsid w:val="000E5183"/>
    <w:rsid w:val="000F0D79"/>
    <w:rsid w:val="000F1B00"/>
    <w:rsid w:val="00106661"/>
    <w:rsid w:val="0011563E"/>
    <w:rsid w:val="001301C0"/>
    <w:rsid w:val="00141674"/>
    <w:rsid w:val="00150891"/>
    <w:rsid w:val="001530E1"/>
    <w:rsid w:val="001577A5"/>
    <w:rsid w:val="00162868"/>
    <w:rsid w:val="00176494"/>
    <w:rsid w:val="00177F2D"/>
    <w:rsid w:val="001818C3"/>
    <w:rsid w:val="00197515"/>
    <w:rsid w:val="001B18C1"/>
    <w:rsid w:val="001B5873"/>
    <w:rsid w:val="001E61AF"/>
    <w:rsid w:val="001E62CF"/>
    <w:rsid w:val="001F0B63"/>
    <w:rsid w:val="001F524C"/>
    <w:rsid w:val="00203050"/>
    <w:rsid w:val="00207222"/>
    <w:rsid w:val="002112FD"/>
    <w:rsid w:val="00220205"/>
    <w:rsid w:val="00225EE9"/>
    <w:rsid w:val="00226966"/>
    <w:rsid w:val="00250600"/>
    <w:rsid w:val="002717A5"/>
    <w:rsid w:val="002B0A5D"/>
    <w:rsid w:val="002B311E"/>
    <w:rsid w:val="002C2D4C"/>
    <w:rsid w:val="002D158B"/>
    <w:rsid w:val="002F2599"/>
    <w:rsid w:val="003103BE"/>
    <w:rsid w:val="00311F8F"/>
    <w:rsid w:val="00344906"/>
    <w:rsid w:val="00357DFA"/>
    <w:rsid w:val="00362DA3"/>
    <w:rsid w:val="00372431"/>
    <w:rsid w:val="0037376B"/>
    <w:rsid w:val="00376A56"/>
    <w:rsid w:val="003778B0"/>
    <w:rsid w:val="00383E1A"/>
    <w:rsid w:val="0038452A"/>
    <w:rsid w:val="00385856"/>
    <w:rsid w:val="00396E9C"/>
    <w:rsid w:val="003A49FD"/>
    <w:rsid w:val="003C732F"/>
    <w:rsid w:val="003D383E"/>
    <w:rsid w:val="003E7362"/>
    <w:rsid w:val="00417F41"/>
    <w:rsid w:val="00424C89"/>
    <w:rsid w:val="00427255"/>
    <w:rsid w:val="00441789"/>
    <w:rsid w:val="0044438E"/>
    <w:rsid w:val="004619BD"/>
    <w:rsid w:val="0047349A"/>
    <w:rsid w:val="004863A5"/>
    <w:rsid w:val="004A169D"/>
    <w:rsid w:val="004A6A4A"/>
    <w:rsid w:val="005258C1"/>
    <w:rsid w:val="00526571"/>
    <w:rsid w:val="00537520"/>
    <w:rsid w:val="00542ADF"/>
    <w:rsid w:val="00544606"/>
    <w:rsid w:val="00567C85"/>
    <w:rsid w:val="00591A26"/>
    <w:rsid w:val="005976BC"/>
    <w:rsid w:val="005A4D42"/>
    <w:rsid w:val="005D7090"/>
    <w:rsid w:val="005E1E5C"/>
    <w:rsid w:val="005E2A91"/>
    <w:rsid w:val="005E588D"/>
    <w:rsid w:val="005F6502"/>
    <w:rsid w:val="00600751"/>
    <w:rsid w:val="00603F6E"/>
    <w:rsid w:val="006154CA"/>
    <w:rsid w:val="00626D19"/>
    <w:rsid w:val="00627C00"/>
    <w:rsid w:val="00640D65"/>
    <w:rsid w:val="00643B97"/>
    <w:rsid w:val="00662CED"/>
    <w:rsid w:val="00665829"/>
    <w:rsid w:val="00675EF3"/>
    <w:rsid w:val="006814B0"/>
    <w:rsid w:val="00681BE9"/>
    <w:rsid w:val="006A56C1"/>
    <w:rsid w:val="006C5698"/>
    <w:rsid w:val="006D6188"/>
    <w:rsid w:val="006E798B"/>
    <w:rsid w:val="006F237D"/>
    <w:rsid w:val="006F6111"/>
    <w:rsid w:val="006F7373"/>
    <w:rsid w:val="00702333"/>
    <w:rsid w:val="00706BFF"/>
    <w:rsid w:val="00717F22"/>
    <w:rsid w:val="00744638"/>
    <w:rsid w:val="00747BC8"/>
    <w:rsid w:val="00757827"/>
    <w:rsid w:val="00765C3E"/>
    <w:rsid w:val="00774CE7"/>
    <w:rsid w:val="00786918"/>
    <w:rsid w:val="007A45CC"/>
    <w:rsid w:val="007B5A7E"/>
    <w:rsid w:val="007D13CB"/>
    <w:rsid w:val="007E5EAB"/>
    <w:rsid w:val="007F13F3"/>
    <w:rsid w:val="007F77C3"/>
    <w:rsid w:val="008017F2"/>
    <w:rsid w:val="008057CC"/>
    <w:rsid w:val="00824573"/>
    <w:rsid w:val="00837C75"/>
    <w:rsid w:val="00841849"/>
    <w:rsid w:val="00853261"/>
    <w:rsid w:val="008713F4"/>
    <w:rsid w:val="008751D3"/>
    <w:rsid w:val="00892F96"/>
    <w:rsid w:val="008A23BE"/>
    <w:rsid w:val="008A7E12"/>
    <w:rsid w:val="008B6AA1"/>
    <w:rsid w:val="008D4931"/>
    <w:rsid w:val="009061CB"/>
    <w:rsid w:val="00914997"/>
    <w:rsid w:val="009303D3"/>
    <w:rsid w:val="00933CA0"/>
    <w:rsid w:val="00961CB5"/>
    <w:rsid w:val="00966ABB"/>
    <w:rsid w:val="009670B0"/>
    <w:rsid w:val="00977DE7"/>
    <w:rsid w:val="00982D06"/>
    <w:rsid w:val="009A4663"/>
    <w:rsid w:val="009A6757"/>
    <w:rsid w:val="009B4DE6"/>
    <w:rsid w:val="009C2D8B"/>
    <w:rsid w:val="009C30B0"/>
    <w:rsid w:val="009D2A5C"/>
    <w:rsid w:val="00A13B32"/>
    <w:rsid w:val="00A22A4A"/>
    <w:rsid w:val="00A23DFA"/>
    <w:rsid w:val="00A30928"/>
    <w:rsid w:val="00A31577"/>
    <w:rsid w:val="00A33149"/>
    <w:rsid w:val="00A331C7"/>
    <w:rsid w:val="00A40B08"/>
    <w:rsid w:val="00A41B11"/>
    <w:rsid w:val="00A5002F"/>
    <w:rsid w:val="00A51F8D"/>
    <w:rsid w:val="00A57833"/>
    <w:rsid w:val="00A6164B"/>
    <w:rsid w:val="00A82F87"/>
    <w:rsid w:val="00A867A9"/>
    <w:rsid w:val="00AB2035"/>
    <w:rsid w:val="00AB3128"/>
    <w:rsid w:val="00AB7552"/>
    <w:rsid w:val="00AC350C"/>
    <w:rsid w:val="00AF0ED9"/>
    <w:rsid w:val="00AF25C6"/>
    <w:rsid w:val="00AF3E75"/>
    <w:rsid w:val="00B01BA6"/>
    <w:rsid w:val="00B055C7"/>
    <w:rsid w:val="00B0737C"/>
    <w:rsid w:val="00B16684"/>
    <w:rsid w:val="00B20B09"/>
    <w:rsid w:val="00B3592E"/>
    <w:rsid w:val="00B50F79"/>
    <w:rsid w:val="00B64D87"/>
    <w:rsid w:val="00B75873"/>
    <w:rsid w:val="00B776C9"/>
    <w:rsid w:val="00B84694"/>
    <w:rsid w:val="00B86A12"/>
    <w:rsid w:val="00B93BDF"/>
    <w:rsid w:val="00B95D88"/>
    <w:rsid w:val="00BA2575"/>
    <w:rsid w:val="00BB125C"/>
    <w:rsid w:val="00BB2496"/>
    <w:rsid w:val="00BB2ED1"/>
    <w:rsid w:val="00BB4081"/>
    <w:rsid w:val="00BC27B7"/>
    <w:rsid w:val="00BC5173"/>
    <w:rsid w:val="00BD2609"/>
    <w:rsid w:val="00BF1E00"/>
    <w:rsid w:val="00C258AD"/>
    <w:rsid w:val="00C421C5"/>
    <w:rsid w:val="00C43B75"/>
    <w:rsid w:val="00C460E7"/>
    <w:rsid w:val="00C46FB4"/>
    <w:rsid w:val="00C71169"/>
    <w:rsid w:val="00C75519"/>
    <w:rsid w:val="00C75557"/>
    <w:rsid w:val="00C955D9"/>
    <w:rsid w:val="00CA154F"/>
    <w:rsid w:val="00CA7853"/>
    <w:rsid w:val="00CB6129"/>
    <w:rsid w:val="00CC2D2E"/>
    <w:rsid w:val="00CF26C0"/>
    <w:rsid w:val="00D137E8"/>
    <w:rsid w:val="00D220E5"/>
    <w:rsid w:val="00D2641E"/>
    <w:rsid w:val="00D3353D"/>
    <w:rsid w:val="00D33E98"/>
    <w:rsid w:val="00D4382B"/>
    <w:rsid w:val="00D5048D"/>
    <w:rsid w:val="00D55F4C"/>
    <w:rsid w:val="00D65781"/>
    <w:rsid w:val="00D76C45"/>
    <w:rsid w:val="00D80279"/>
    <w:rsid w:val="00D94B14"/>
    <w:rsid w:val="00D95801"/>
    <w:rsid w:val="00DA47CA"/>
    <w:rsid w:val="00DD2922"/>
    <w:rsid w:val="00DD351E"/>
    <w:rsid w:val="00DF2EDF"/>
    <w:rsid w:val="00E150FD"/>
    <w:rsid w:val="00E22A19"/>
    <w:rsid w:val="00E235AA"/>
    <w:rsid w:val="00E240F4"/>
    <w:rsid w:val="00E25EFF"/>
    <w:rsid w:val="00E27CF0"/>
    <w:rsid w:val="00E339AC"/>
    <w:rsid w:val="00E45AF1"/>
    <w:rsid w:val="00E6157D"/>
    <w:rsid w:val="00E81B09"/>
    <w:rsid w:val="00EA26DE"/>
    <w:rsid w:val="00EA2BA6"/>
    <w:rsid w:val="00EA2ED2"/>
    <w:rsid w:val="00EA542F"/>
    <w:rsid w:val="00EB6211"/>
    <w:rsid w:val="00EB6C59"/>
    <w:rsid w:val="00EC58EE"/>
    <w:rsid w:val="00EC5F1F"/>
    <w:rsid w:val="00ED5A3F"/>
    <w:rsid w:val="00EE1ED1"/>
    <w:rsid w:val="00EE5BBC"/>
    <w:rsid w:val="00F11D93"/>
    <w:rsid w:val="00F3148F"/>
    <w:rsid w:val="00F40DCA"/>
    <w:rsid w:val="00F44D90"/>
    <w:rsid w:val="00F46489"/>
    <w:rsid w:val="00F561D3"/>
    <w:rsid w:val="00F600F6"/>
    <w:rsid w:val="00F644C2"/>
    <w:rsid w:val="00F7696F"/>
    <w:rsid w:val="00F91A6D"/>
    <w:rsid w:val="00F94611"/>
    <w:rsid w:val="00F97F99"/>
    <w:rsid w:val="00FF40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F16D4-7721-4685-B8BB-7D8618EE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0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77F2D"/>
    <w:rPr>
      <w:color w:val="0563C1" w:themeColor="hyperlink"/>
      <w:u w:val="single"/>
    </w:rPr>
  </w:style>
  <w:style w:type="paragraph" w:styleId="Notedebasdepage">
    <w:name w:val="footnote text"/>
    <w:basedOn w:val="Normal"/>
    <w:link w:val="NotedebasdepageCar"/>
    <w:uiPriority w:val="99"/>
    <w:semiHidden/>
    <w:unhideWhenUsed/>
    <w:rsid w:val="00B50F79"/>
    <w:rPr>
      <w:sz w:val="20"/>
      <w:szCs w:val="20"/>
    </w:rPr>
  </w:style>
  <w:style w:type="character" w:customStyle="1" w:styleId="NotedebasdepageCar">
    <w:name w:val="Note de bas de page Car"/>
    <w:basedOn w:val="Policepardfaut"/>
    <w:link w:val="Notedebasdepage"/>
    <w:uiPriority w:val="99"/>
    <w:semiHidden/>
    <w:rsid w:val="00B50F79"/>
    <w:rPr>
      <w:sz w:val="20"/>
      <w:szCs w:val="20"/>
    </w:rPr>
  </w:style>
  <w:style w:type="character" w:styleId="Appelnotedebasdep">
    <w:name w:val="footnote reference"/>
    <w:basedOn w:val="Policepardfaut"/>
    <w:uiPriority w:val="99"/>
    <w:semiHidden/>
    <w:unhideWhenUsed/>
    <w:rsid w:val="00B50F79"/>
    <w:rPr>
      <w:vertAlign w:val="superscript"/>
    </w:rPr>
  </w:style>
  <w:style w:type="paragraph" w:styleId="Paragraphedeliste">
    <w:name w:val="List Paragraph"/>
    <w:basedOn w:val="Normal"/>
    <w:uiPriority w:val="34"/>
    <w:qFormat/>
    <w:rsid w:val="00BB125C"/>
    <w:pPr>
      <w:ind w:left="720"/>
      <w:contextualSpacing/>
    </w:pPr>
  </w:style>
  <w:style w:type="character" w:customStyle="1" w:styleId="apple-converted-space">
    <w:name w:val="apple-converted-space"/>
    <w:basedOn w:val="Policepardfaut"/>
    <w:rsid w:val="008D4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0312-3FBC-4A65-AEFA-EF82A1F3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4498</Words>
  <Characters>24744</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xxxx</cp:lastModifiedBy>
  <cp:revision>2</cp:revision>
  <dcterms:created xsi:type="dcterms:W3CDTF">2016-07-21T17:06:00Z</dcterms:created>
  <dcterms:modified xsi:type="dcterms:W3CDTF">2016-07-21T17:06:00Z</dcterms:modified>
</cp:coreProperties>
</file>